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7160"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Букина, Елена Николаевна.</w:t>
      </w:r>
    </w:p>
    <w:p w14:paraId="28E34705"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Об электромагнитных характеристиках точечных систем : Теория и некоторые приложения в физике элементарных частиц : диссертация ... кандидата физико-математических наук : 01.04.02. - Дубна, 1999. - 117 с. : ил.</w:t>
      </w:r>
    </w:p>
    <w:p w14:paraId="322847CF"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Оглавление диссертациикандидат физико-математических наук Букина, Елена Николаевна</w:t>
      </w:r>
    </w:p>
    <w:p w14:paraId="4E57A47E"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Введение</w:t>
      </w:r>
    </w:p>
    <w:p w14:paraId="134E5CE1"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Глава 1 Формальные основы мультипольного разложения</w:t>
      </w:r>
    </w:p>
    <w:p w14:paraId="404DD4D1"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1.1 Математические вопросы задачи мультипольного разложения. Пролегомены.</w:t>
      </w:r>
    </w:p>
    <w:p w14:paraId="04EA2ECB"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1.2 Калибровочные степени свободы в декомпозициях векторного поля по Гельмгольцу</w:t>
      </w:r>
    </w:p>
    <w:p w14:paraId="2711E58F"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1.3 Декомпозиция Неймана-Дебая для векторного поля и ее калибровочные свободы</w:t>
      </w:r>
    </w:p>
    <w:p w14:paraId="74A0612F"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1.4 Мультиполъное разложение распределения электромагнитного тока как следствие расширенных теорем</w:t>
      </w:r>
    </w:p>
    <w:p w14:paraId="47BD37CB"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1.5 Физические примеры мультипольных структур:</w:t>
      </w:r>
    </w:p>
    <w:p w14:paraId="411239FE"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1.5.0.1 Мультипольная структура вихря Абрикосова.</w:t>
      </w:r>
    </w:p>
    <w:p w14:paraId="7347978B"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1.5.0.2 Параметры порядка для геликоидального магнетика . 35 1.5.0.3 Электромагнитные характеристики дираковского и майорановского нейтрино.</w:t>
      </w:r>
    </w:p>
    <w:p w14:paraId="1C8D9A45"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Глава 2 Мультипольные формфакторы элементарных частиц</w:t>
      </w:r>
    </w:p>
    <w:p w14:paraId="7F641CC2"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2.1 Определение л.и Пример:веннаястема оета двухчичного рада</w:t>
      </w:r>
    </w:p>
    <w:p w14:paraId="3EB03A8F"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2.2 Сравнениес.другими л.и, применяемыми для опния двухчичного рада</w:t>
      </w:r>
    </w:p>
    <w:p w14:paraId="09C35200"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2.3 О кинематических ограничениях на передаваемые импульсы в различных л.и</w:t>
      </w:r>
    </w:p>
    <w:p w14:paraId="252D7982"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2.4 Переход изстемы покоя радающе чицы вс. в некова-риантной зап</w:t>
      </w:r>
    </w:p>
    <w:p w14:paraId="5C9B29D8"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2.5 Мультипольная явноковариантная параметризация переходного векторного тока.</w:t>
      </w:r>
    </w:p>
    <w:p w14:paraId="47A13775"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2.6 Мультипольная явноковариантная параметризация переходного аксиального векторного тока.</w:t>
      </w:r>
    </w:p>
    <w:p w14:paraId="0ED9643D"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Глава 3 Нарушение четности в слабых радиационных распадах гиперонов и теорема Хара</w:t>
      </w:r>
    </w:p>
    <w:p w14:paraId="44E73EBE"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3.1 Кинематика слабых радиационных распадов гиперонов</w:t>
      </w:r>
    </w:p>
    <w:p w14:paraId="765EDCE8"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3.2 Расширение анзаца Хара ТО</w:t>
      </w:r>
    </w:p>
    <w:p w14:paraId="304DA0FA"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3.3 Новый трактовка формулы Вазанти</w:t>
      </w:r>
    </w:p>
    <w:p w14:paraId="2D25517E"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3.4 О структуре амплитуды двухкваркового слабого радиационного распада Е+ —&gt; р-у</w:t>
      </w:r>
    </w:p>
    <w:p w14:paraId="0BB40ADF"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3.5 Анализ вкладов двухкварковых диаграмм НРКМ в слабые радиационные распады нейтральных гиперонов лава 4 Анализ расчетов магнитных моментов барионов</w:t>
      </w:r>
    </w:p>
    <w:p w14:paraId="1511B40D"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4.1 Унитарная модель для магнитных моментов барионов</w:t>
      </w:r>
    </w:p>
    <w:p w14:paraId="6335228C"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4.2 Сравнение выводов кварк-солитонной модели и модели унитарной симметрии</w:t>
      </w:r>
    </w:p>
    <w:p w14:paraId="087B4E2C"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lastRenderedPageBreak/>
        <w:t>4.3 Сравнение выводов модели кирального гипермешка с нарушенной симметрией и унитарной модели</w:t>
      </w:r>
    </w:p>
    <w:p w14:paraId="7D72A461"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4.4 Магнитные моменты барионов в киральной модели Cb.PT</w:t>
      </w:r>
    </w:p>
    <w:p w14:paraId="3219187F" w14:textId="77777777" w:rsidR="0026096B" w:rsidRPr="0026096B" w:rsidRDefault="0026096B" w:rsidP="0026096B">
      <w:pPr>
        <w:rPr>
          <w:rFonts w:ascii="Helvetica" w:eastAsia="Symbol" w:hAnsi="Helvetica" w:cs="Helvetica"/>
          <w:b/>
          <w:bCs/>
          <w:color w:val="222222"/>
          <w:kern w:val="0"/>
          <w:sz w:val="21"/>
          <w:szCs w:val="21"/>
          <w:lang w:eastAsia="ru-RU"/>
        </w:rPr>
      </w:pPr>
      <w:r w:rsidRPr="0026096B">
        <w:rPr>
          <w:rFonts w:ascii="Helvetica" w:eastAsia="Symbol" w:hAnsi="Helvetica" w:cs="Helvetica"/>
          <w:b/>
          <w:bCs/>
          <w:color w:val="222222"/>
          <w:kern w:val="0"/>
          <w:sz w:val="21"/>
          <w:szCs w:val="21"/>
          <w:lang w:eastAsia="ru-RU"/>
        </w:rPr>
        <w:t>4.5 Магнитные моменты барионов в модели с нулевыми инстантонами 99 Заключение 102 Приложение А 105 Приложение В 106 Литература</w:t>
      </w:r>
    </w:p>
    <w:p w14:paraId="77FDBE4B" w14:textId="12B6877F" w:rsidR="00410372" w:rsidRPr="0026096B" w:rsidRDefault="00410372" w:rsidP="0026096B"/>
    <w:sectPr w:rsidR="00410372" w:rsidRPr="002609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FFD2" w14:textId="77777777" w:rsidR="00626307" w:rsidRDefault="00626307">
      <w:pPr>
        <w:spacing w:after="0" w:line="240" w:lineRule="auto"/>
      </w:pPr>
      <w:r>
        <w:separator/>
      </w:r>
    </w:p>
  </w:endnote>
  <w:endnote w:type="continuationSeparator" w:id="0">
    <w:p w14:paraId="467FC2A6" w14:textId="77777777" w:rsidR="00626307" w:rsidRDefault="0062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08C5" w14:textId="77777777" w:rsidR="00626307" w:rsidRDefault="00626307"/>
    <w:p w14:paraId="09012F35" w14:textId="77777777" w:rsidR="00626307" w:rsidRDefault="00626307"/>
    <w:p w14:paraId="0D7CBC3B" w14:textId="77777777" w:rsidR="00626307" w:rsidRDefault="00626307"/>
    <w:p w14:paraId="054DCADA" w14:textId="77777777" w:rsidR="00626307" w:rsidRDefault="00626307"/>
    <w:p w14:paraId="146BAF24" w14:textId="77777777" w:rsidR="00626307" w:rsidRDefault="00626307"/>
    <w:p w14:paraId="022AB66C" w14:textId="77777777" w:rsidR="00626307" w:rsidRDefault="00626307"/>
    <w:p w14:paraId="3BA50582" w14:textId="77777777" w:rsidR="00626307" w:rsidRDefault="006263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BB4DE" wp14:editId="58E677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AE5A3" w14:textId="77777777" w:rsidR="00626307" w:rsidRDefault="006263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BB4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AAE5A3" w14:textId="77777777" w:rsidR="00626307" w:rsidRDefault="006263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D10F84" w14:textId="77777777" w:rsidR="00626307" w:rsidRDefault="00626307"/>
    <w:p w14:paraId="234D09C8" w14:textId="77777777" w:rsidR="00626307" w:rsidRDefault="00626307"/>
    <w:p w14:paraId="5D7CF46D" w14:textId="77777777" w:rsidR="00626307" w:rsidRDefault="006263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823A18" wp14:editId="4AFB7C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EE00B" w14:textId="77777777" w:rsidR="00626307" w:rsidRDefault="00626307"/>
                          <w:p w14:paraId="2B05D5A5" w14:textId="77777777" w:rsidR="00626307" w:rsidRDefault="006263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823A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9EE00B" w14:textId="77777777" w:rsidR="00626307" w:rsidRDefault="00626307"/>
                    <w:p w14:paraId="2B05D5A5" w14:textId="77777777" w:rsidR="00626307" w:rsidRDefault="006263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B9F156" w14:textId="77777777" w:rsidR="00626307" w:rsidRDefault="00626307"/>
    <w:p w14:paraId="016C2DC3" w14:textId="77777777" w:rsidR="00626307" w:rsidRDefault="00626307">
      <w:pPr>
        <w:rPr>
          <w:sz w:val="2"/>
          <w:szCs w:val="2"/>
        </w:rPr>
      </w:pPr>
    </w:p>
    <w:p w14:paraId="2E244A30" w14:textId="77777777" w:rsidR="00626307" w:rsidRDefault="00626307"/>
    <w:p w14:paraId="413EDDB1" w14:textId="77777777" w:rsidR="00626307" w:rsidRDefault="00626307">
      <w:pPr>
        <w:spacing w:after="0" w:line="240" w:lineRule="auto"/>
      </w:pPr>
    </w:p>
  </w:footnote>
  <w:footnote w:type="continuationSeparator" w:id="0">
    <w:p w14:paraId="6AC97681" w14:textId="77777777" w:rsidR="00626307" w:rsidRDefault="00626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07"/>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144651</TotalTime>
  <Pages>2</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3898</cp:revision>
  <cp:lastPrinted>2009-02-06T05:36:00Z</cp:lastPrinted>
  <dcterms:created xsi:type="dcterms:W3CDTF">2024-01-07T13:43:00Z</dcterms:created>
  <dcterms:modified xsi:type="dcterms:W3CDTF">2025-08-04T07:18:00Z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