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C6114" w14:textId="2D1819EE" w:rsidR="00040C52" w:rsidRDefault="001B0D81" w:rsidP="001B0D81">
      <w:pPr>
        <w:rPr>
          <w:rFonts w:ascii="Verdana" w:hAnsi="Verdana"/>
          <w:b/>
          <w:bCs/>
          <w:color w:val="000000"/>
          <w:shd w:val="clear" w:color="auto" w:fill="FFFFFF"/>
        </w:rPr>
      </w:pPr>
      <w:r>
        <w:rPr>
          <w:rFonts w:ascii="Verdana" w:hAnsi="Verdana"/>
          <w:b/>
          <w:bCs/>
          <w:color w:val="000000"/>
          <w:shd w:val="clear" w:color="auto" w:fill="FFFFFF"/>
        </w:rPr>
        <w:t>Кіндзера Діана Петрівна. Сушіння паливних матеріалів різнодисперсного складу у щільному шарі: дисертація канд. техн. наук: 05.17.08 / Національний ун-т "Львівська політехніка".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B0D81" w:rsidRPr="001B0D81" w14:paraId="7592DBAF" w14:textId="77777777" w:rsidTr="001B0D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0D81" w:rsidRPr="001B0D81" w14:paraId="7AAD0D94" w14:textId="77777777">
              <w:trPr>
                <w:tblCellSpacing w:w="0" w:type="dxa"/>
              </w:trPr>
              <w:tc>
                <w:tcPr>
                  <w:tcW w:w="0" w:type="auto"/>
                  <w:vAlign w:val="center"/>
                  <w:hideMark/>
                </w:tcPr>
                <w:p w14:paraId="6E08DC58" w14:textId="77777777" w:rsidR="001B0D81" w:rsidRPr="001B0D81" w:rsidRDefault="001B0D81" w:rsidP="001B0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0D81">
                    <w:rPr>
                      <w:rFonts w:ascii="Times New Roman" w:eastAsia="Times New Roman" w:hAnsi="Times New Roman" w:cs="Times New Roman"/>
                      <w:b/>
                      <w:bCs/>
                      <w:sz w:val="24"/>
                      <w:szCs w:val="24"/>
                    </w:rPr>
                    <w:lastRenderedPageBreak/>
                    <w:t>Кіндзера Діана Петрівна. Сушіння паливних матеріалів різнодисперсного складу у щільному шарі. Рукопис.</w:t>
                  </w:r>
                </w:p>
                <w:p w14:paraId="64FA1666" w14:textId="77777777" w:rsidR="001B0D81" w:rsidRPr="001B0D81" w:rsidRDefault="001B0D81" w:rsidP="001B0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0D8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05.17.08. – процеси та обладнання хімічної технології. Національний університет “Львівська політехніка”, Львів – 2003.</w:t>
                  </w:r>
                </w:p>
                <w:p w14:paraId="693A3FC3" w14:textId="77777777" w:rsidR="001B0D81" w:rsidRPr="001B0D81" w:rsidRDefault="001B0D81" w:rsidP="001B0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0D81">
                    <w:rPr>
                      <w:rFonts w:ascii="Times New Roman" w:eastAsia="Times New Roman" w:hAnsi="Times New Roman" w:cs="Times New Roman"/>
                      <w:sz w:val="24"/>
                      <w:szCs w:val="24"/>
                    </w:rPr>
                    <w:t>Дисертаційна робота присвячена питанням дослідження процесу сушіння у щільному шарі торфу та вугілля, які є дисперсними матеріалами і застосовуються як сировина для хімічної промисловості та як паливні матеріали. В роботі наведені методики проведення експериментальних досліджень гідродинаміки та кінетики сушіння цих матеріалів, представлені результати досліджень та встановлені розрахункові залежності для прогнозування гідродинаміки під час руху теплоносія через вологі та сухі шари, а також кінетики процесу. Подано розрахунок ефективності сушіння торфу у щільному шарі при висотах шару від 20</w:t>
                  </w:r>
                  <w:r w:rsidRPr="001B0D81">
                    <w:rPr>
                      <w:rFonts w:ascii="Times New Roman" w:eastAsia="Times New Roman" w:hAnsi="Times New Roman" w:cs="Times New Roman"/>
                      <w:sz w:val="24"/>
                      <w:szCs w:val="24"/>
                      <w:vertAlign w:val="superscript"/>
                    </w:rPr>
                    <w:t>.</w:t>
                  </w:r>
                  <w:r w:rsidRPr="001B0D81">
                    <w:rPr>
                      <w:rFonts w:ascii="Times New Roman" w:eastAsia="Times New Roman" w:hAnsi="Times New Roman" w:cs="Times New Roman"/>
                      <w:sz w:val="24"/>
                      <w:szCs w:val="24"/>
                    </w:rPr>
                    <w:t>10</w:t>
                  </w:r>
                  <w:r w:rsidRPr="001B0D81">
                    <w:rPr>
                      <w:rFonts w:ascii="Times New Roman" w:eastAsia="Times New Roman" w:hAnsi="Times New Roman" w:cs="Times New Roman"/>
                      <w:sz w:val="24"/>
                      <w:szCs w:val="24"/>
                      <w:vertAlign w:val="superscript"/>
                    </w:rPr>
                    <w:t>-3</w:t>
                  </w:r>
                  <w:r w:rsidRPr="001B0D81">
                    <w:rPr>
                      <w:rFonts w:ascii="Times New Roman" w:eastAsia="Times New Roman" w:hAnsi="Times New Roman" w:cs="Times New Roman"/>
                      <w:sz w:val="24"/>
                      <w:szCs w:val="24"/>
                    </w:rPr>
                    <w:t> м до 50</w:t>
                  </w:r>
                  <w:r w:rsidRPr="001B0D81">
                    <w:rPr>
                      <w:rFonts w:ascii="Times New Roman" w:eastAsia="Times New Roman" w:hAnsi="Times New Roman" w:cs="Times New Roman"/>
                      <w:sz w:val="24"/>
                      <w:szCs w:val="24"/>
                      <w:vertAlign w:val="superscript"/>
                    </w:rPr>
                    <w:t>.</w:t>
                  </w:r>
                  <w:r w:rsidRPr="001B0D81">
                    <w:rPr>
                      <w:rFonts w:ascii="Times New Roman" w:eastAsia="Times New Roman" w:hAnsi="Times New Roman" w:cs="Times New Roman"/>
                      <w:sz w:val="24"/>
                      <w:szCs w:val="24"/>
                    </w:rPr>
                    <w:t>10</w:t>
                  </w:r>
                  <w:r w:rsidRPr="001B0D81">
                    <w:rPr>
                      <w:rFonts w:ascii="Times New Roman" w:eastAsia="Times New Roman" w:hAnsi="Times New Roman" w:cs="Times New Roman"/>
                      <w:sz w:val="24"/>
                      <w:szCs w:val="24"/>
                      <w:vertAlign w:val="superscript"/>
                    </w:rPr>
                    <w:t>-3</w:t>
                  </w:r>
                  <w:r w:rsidRPr="001B0D81">
                    <w:rPr>
                      <w:rFonts w:ascii="Times New Roman" w:eastAsia="Times New Roman" w:hAnsi="Times New Roman" w:cs="Times New Roman"/>
                      <w:sz w:val="24"/>
                      <w:szCs w:val="24"/>
                    </w:rPr>
                    <w:t> м, температурах теплоносія від 313 К до 343 К, перепадах тисків від 785 Па до 9120 Па.</w:t>
                  </w:r>
                  <w:r w:rsidRPr="001B0D81">
                    <w:rPr>
                      <w:rFonts w:ascii="Times New Roman" w:eastAsia="Times New Roman" w:hAnsi="Times New Roman" w:cs="Times New Roman"/>
                      <w:b/>
                      <w:bCs/>
                      <w:sz w:val="24"/>
                      <w:szCs w:val="24"/>
                    </w:rPr>
                    <w:t> </w:t>
                  </w:r>
                  <w:r w:rsidRPr="001B0D81">
                    <w:rPr>
                      <w:rFonts w:ascii="Times New Roman" w:eastAsia="Times New Roman" w:hAnsi="Times New Roman" w:cs="Times New Roman"/>
                      <w:sz w:val="24"/>
                      <w:szCs w:val="24"/>
                    </w:rPr>
                    <w:t>На основі отриманих результатів вибрані оптимальні технологічні параметри проведення процесу у щільному шарі, при яких загальні затрати на сушіння торфу є найменшими. Обґрунтовано переваги сушіння у щільному шарі в порівнянні з існуючими методами, подано методику розрахунку агрегату для зневоднення торфу, запропоновано схему установки фільтраційного сушіння зернистих матеріалів (торфу та дрібнодисперсного вугілля).</w:t>
                  </w:r>
                </w:p>
              </w:tc>
            </w:tr>
          </w:tbl>
          <w:p w14:paraId="5BEEDCA0" w14:textId="77777777" w:rsidR="001B0D81" w:rsidRPr="001B0D81" w:rsidRDefault="001B0D81" w:rsidP="001B0D81">
            <w:pPr>
              <w:spacing w:after="0" w:line="240" w:lineRule="auto"/>
              <w:rPr>
                <w:rFonts w:ascii="Times New Roman" w:eastAsia="Times New Roman" w:hAnsi="Times New Roman" w:cs="Times New Roman"/>
                <w:sz w:val="24"/>
                <w:szCs w:val="24"/>
              </w:rPr>
            </w:pPr>
          </w:p>
        </w:tc>
      </w:tr>
      <w:tr w:rsidR="001B0D81" w:rsidRPr="001B0D81" w14:paraId="5517C5FF" w14:textId="77777777" w:rsidTr="001B0D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0D81" w:rsidRPr="001B0D81" w14:paraId="55F7B39F" w14:textId="77777777">
              <w:trPr>
                <w:tblCellSpacing w:w="0" w:type="dxa"/>
              </w:trPr>
              <w:tc>
                <w:tcPr>
                  <w:tcW w:w="0" w:type="auto"/>
                  <w:vAlign w:val="center"/>
                  <w:hideMark/>
                </w:tcPr>
                <w:p w14:paraId="1E02C88E" w14:textId="77777777" w:rsidR="001B0D81" w:rsidRPr="001B0D81" w:rsidRDefault="001B0D81" w:rsidP="007800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0D81">
                    <w:rPr>
                      <w:rFonts w:ascii="Times New Roman" w:eastAsia="Times New Roman" w:hAnsi="Times New Roman" w:cs="Times New Roman"/>
                      <w:sz w:val="24"/>
                      <w:szCs w:val="24"/>
                    </w:rPr>
                    <w:t>Аналіз існуючих методів сушіння дисперсних матеріалів показав, що одним з перспективних методів є сушіння у щільному шарі, яке є інтенсивнішим, енергоощадливішим, екологічно безпечнішим у порівнянні з конвективним.</w:t>
                  </w:r>
                </w:p>
                <w:p w14:paraId="6BD4AC5A" w14:textId="77777777" w:rsidR="001B0D81" w:rsidRPr="001B0D81" w:rsidRDefault="001B0D81" w:rsidP="007800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0D81">
                    <w:rPr>
                      <w:rFonts w:ascii="Times New Roman" w:eastAsia="Times New Roman" w:hAnsi="Times New Roman" w:cs="Times New Roman"/>
                      <w:sz w:val="24"/>
                      <w:szCs w:val="24"/>
                    </w:rPr>
                    <w:t>На основі вивчення гідродинаміки сухого та вологого шарів торфу отримані розрахункові залежності для визначення гідравлічного опору сухого та вологого матеріалу.</w:t>
                  </w:r>
                </w:p>
                <w:p w14:paraId="58E4DE72" w14:textId="77777777" w:rsidR="001B0D81" w:rsidRPr="001B0D81" w:rsidRDefault="001B0D81" w:rsidP="007800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0D81">
                    <w:rPr>
                      <w:rFonts w:ascii="Times New Roman" w:eastAsia="Times New Roman" w:hAnsi="Times New Roman" w:cs="Times New Roman"/>
                      <w:sz w:val="24"/>
                      <w:szCs w:val="24"/>
                    </w:rPr>
                    <w:t>Результати вивчення гідродинаміки полідисперсного шару сухого вугілля показали, що домінуючий вплив на гідравлічний опір мають в’язкісні сили, які зростають із збільшенням умовного діаметру частин. Отримана розрахункова залежність дозволяє визначити гідравлічний опір шару як окремої фракції вугілля при відомих значеннях умовного діаметру частин, так і полідисперсної суміші.</w:t>
                  </w:r>
                </w:p>
                <w:p w14:paraId="5F36AF07" w14:textId="77777777" w:rsidR="001B0D81" w:rsidRPr="001B0D81" w:rsidRDefault="001B0D81" w:rsidP="007800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0D81">
                    <w:rPr>
                      <w:rFonts w:ascii="Times New Roman" w:eastAsia="Times New Roman" w:hAnsi="Times New Roman" w:cs="Times New Roman"/>
                      <w:sz w:val="24"/>
                      <w:szCs w:val="24"/>
                    </w:rPr>
                    <w:t>Експериментальні дослідження кінетики сушіння торфу та вугілля показали, що процес відбувається у першому та другому умовних періодах. Визначені кінетичні коефіцієнти “а”</w:t>
                  </w:r>
                  <w:r w:rsidRPr="001B0D81">
                    <w:rPr>
                      <w:rFonts w:ascii="Times New Roman" w:eastAsia="Times New Roman" w:hAnsi="Times New Roman" w:cs="Times New Roman"/>
                      <w:b/>
                      <w:bCs/>
                      <w:sz w:val="24"/>
                      <w:szCs w:val="24"/>
                    </w:rPr>
                    <w:t> </w:t>
                  </w:r>
                  <w:r w:rsidRPr="001B0D81">
                    <w:rPr>
                      <w:rFonts w:ascii="Times New Roman" w:eastAsia="Times New Roman" w:hAnsi="Times New Roman" w:cs="Times New Roman"/>
                      <w:sz w:val="24"/>
                      <w:szCs w:val="24"/>
                    </w:rPr>
                    <w:t>та “”. Доказано, що коефіцієнт “а”</w:t>
                  </w:r>
                  <w:r w:rsidRPr="001B0D81">
                    <w:rPr>
                      <w:rFonts w:ascii="Times New Roman" w:eastAsia="Times New Roman" w:hAnsi="Times New Roman" w:cs="Times New Roman"/>
                      <w:b/>
                      <w:bCs/>
                      <w:sz w:val="24"/>
                      <w:szCs w:val="24"/>
                    </w:rPr>
                    <w:t> </w:t>
                  </w:r>
                  <w:r w:rsidRPr="001B0D81">
                    <w:rPr>
                      <w:rFonts w:ascii="Times New Roman" w:eastAsia="Times New Roman" w:hAnsi="Times New Roman" w:cs="Times New Roman"/>
                      <w:sz w:val="24"/>
                      <w:szCs w:val="24"/>
                    </w:rPr>
                    <w:t>залежить не лише від природи матеріалу, а й від його структури. Визначені показники степенів і коефіцієнти пропорційності для розрахунку кінетичного коефіцієнту “” і вперше встановлено їх залежність від умовного діаметру частин. Отримана розрахункова залежність для прогнозування сушіння у першому умовному періоді.</w:t>
                  </w:r>
                </w:p>
                <w:p w14:paraId="4FE583CC" w14:textId="77777777" w:rsidR="001B0D81" w:rsidRPr="001B0D81" w:rsidRDefault="001B0D81" w:rsidP="007800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0D81">
                    <w:rPr>
                      <w:rFonts w:ascii="Times New Roman" w:eastAsia="Times New Roman" w:hAnsi="Times New Roman" w:cs="Times New Roman"/>
                      <w:sz w:val="24"/>
                      <w:szCs w:val="24"/>
                    </w:rPr>
                    <w:t>На основі результатів експериментальних досліджень визначено відносний коефіцієнт сушіння “” для другого умовного періоду. Вперше встановлено, що його значення залежить не лише від природи матеріалу, а й від фракційного складу. Встановлено розрахункову залежність для прогнозування сушіння у другому умовному періоді.</w:t>
                  </w:r>
                </w:p>
                <w:p w14:paraId="32FE044C" w14:textId="77777777" w:rsidR="001B0D81" w:rsidRPr="001B0D81" w:rsidRDefault="001B0D81" w:rsidP="007800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0D81">
                    <w:rPr>
                      <w:rFonts w:ascii="Times New Roman" w:eastAsia="Times New Roman" w:hAnsi="Times New Roman" w:cs="Times New Roman"/>
                      <w:sz w:val="24"/>
                      <w:szCs w:val="24"/>
                    </w:rPr>
                    <w:t>Створена методика розрахунку сушильної установки для реалізації сушіння у щільному шарі і запропонована її конструкція, на яку отриманий деклараційний патент України, яка передана на Червоноградську гірничо-збагачувальну фабрику для впровадження у виробництво.</w:t>
                  </w:r>
                </w:p>
              </w:tc>
            </w:tr>
          </w:tbl>
          <w:p w14:paraId="1AB2B6B4" w14:textId="77777777" w:rsidR="001B0D81" w:rsidRPr="001B0D81" w:rsidRDefault="001B0D81" w:rsidP="001B0D81">
            <w:pPr>
              <w:spacing w:after="0" w:line="240" w:lineRule="auto"/>
              <w:rPr>
                <w:rFonts w:ascii="Times New Roman" w:eastAsia="Times New Roman" w:hAnsi="Times New Roman" w:cs="Times New Roman"/>
                <w:sz w:val="24"/>
                <w:szCs w:val="24"/>
              </w:rPr>
            </w:pPr>
          </w:p>
        </w:tc>
      </w:tr>
    </w:tbl>
    <w:p w14:paraId="10A78047" w14:textId="77777777" w:rsidR="001B0D81" w:rsidRPr="001B0D81" w:rsidRDefault="001B0D81" w:rsidP="001B0D81"/>
    <w:sectPr w:rsidR="001B0D81" w:rsidRPr="001B0D8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9A64B" w14:textId="77777777" w:rsidR="007800BA" w:rsidRDefault="007800BA">
      <w:pPr>
        <w:spacing w:after="0" w:line="240" w:lineRule="auto"/>
      </w:pPr>
      <w:r>
        <w:separator/>
      </w:r>
    </w:p>
  </w:endnote>
  <w:endnote w:type="continuationSeparator" w:id="0">
    <w:p w14:paraId="1648305A" w14:textId="77777777" w:rsidR="007800BA" w:rsidRDefault="00780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3303B" w14:textId="77777777" w:rsidR="007800BA" w:rsidRDefault="007800BA">
      <w:pPr>
        <w:spacing w:after="0" w:line="240" w:lineRule="auto"/>
      </w:pPr>
      <w:r>
        <w:separator/>
      </w:r>
    </w:p>
  </w:footnote>
  <w:footnote w:type="continuationSeparator" w:id="0">
    <w:p w14:paraId="7BAC525F" w14:textId="77777777" w:rsidR="007800BA" w:rsidRDefault="00780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800B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D7D09"/>
    <w:multiLevelType w:val="multilevel"/>
    <w:tmpl w:val="4CB87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05"/>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0BA"/>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10"/>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88793</TotalTime>
  <Pages>2</Pages>
  <Words>518</Words>
  <Characters>2959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5694</cp:revision>
  <dcterms:created xsi:type="dcterms:W3CDTF">2024-06-20T08:51:00Z</dcterms:created>
  <dcterms:modified xsi:type="dcterms:W3CDTF">2024-12-07T09:38:00Z</dcterms:modified>
  <cp:category/>
</cp:coreProperties>
</file>