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944D"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Бондарко, Светлана Александровна.</w:t>
      </w:r>
    </w:p>
    <w:p w14:paraId="3986F4DC"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Влияние трансформации политического режима на внешнюю политику: пример ЮАР 1982-2002 гг. : диссертация ... кандидата политических наук : 23.00.04. - Санкт-Петербург, 2005. - 158 с.</w:t>
      </w:r>
    </w:p>
    <w:p w14:paraId="096C802F"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Оглавление диссертациикандидат политических наук Бондарко, Светлана Александровна</w:t>
      </w:r>
    </w:p>
    <w:p w14:paraId="227E308A"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ВВЕДЕНИЕ</w:t>
      </w:r>
    </w:p>
    <w:p w14:paraId="5E18F114"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ГЛАВА I Апартеид как социально-политический феномен</w:t>
      </w:r>
    </w:p>
    <w:p w14:paraId="7DE56906"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1.1 Природа апартеида и формы его проявления</w:t>
      </w:r>
    </w:p>
    <w:p w14:paraId="64FB066F"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1.2 Влияние апартеида на социально-политическую жизнь общества</w:t>
      </w:r>
    </w:p>
    <w:p w14:paraId="0D32C8E3"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1.3 Экономика страны в годы апартеида</w:t>
      </w:r>
    </w:p>
    <w:p w14:paraId="705169E7"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ГЛАВА II Трансформация политического режима ЮАР 1982-2002гг.</w:t>
      </w:r>
    </w:p>
    <w:p w14:paraId="7E58C105"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2.1 Роль международного сообщества в борьбе с апартеидом и третья волна глобальной демократизации</w:t>
      </w:r>
    </w:p>
    <w:p w14:paraId="2DF1D1A2"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2.2 Специфика расистских режимов (от П.В. Бота до Ф.де Клерка)</w:t>
      </w:r>
    </w:p>
    <w:p w14:paraId="3103EE39"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2.3 Общие закономерности демократизации и политическая жизнь современной ЮАР</w:t>
      </w:r>
    </w:p>
    <w:p w14:paraId="7ED6C749"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ГЛАВА III Южная Африка в международной политике</w:t>
      </w:r>
    </w:p>
    <w:p w14:paraId="10A83FC5"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3.1 Период апартеида</w:t>
      </w:r>
    </w:p>
    <w:p w14:paraId="21A332F9"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3.2 Современная политика и международные приоритеты</w:t>
      </w:r>
    </w:p>
    <w:p w14:paraId="0CE73C19" w14:textId="77777777" w:rsidR="00061EEA" w:rsidRPr="00061EEA" w:rsidRDefault="00061EEA" w:rsidP="00061EEA">
      <w:pPr>
        <w:rPr>
          <w:rFonts w:ascii="Helvetica" w:eastAsia="Symbol" w:hAnsi="Helvetica" w:cs="Helvetica"/>
          <w:b/>
          <w:bCs/>
          <w:color w:val="222222"/>
          <w:kern w:val="0"/>
          <w:sz w:val="21"/>
          <w:szCs w:val="21"/>
          <w:lang w:eastAsia="ru-RU"/>
        </w:rPr>
      </w:pPr>
      <w:r w:rsidRPr="00061EEA">
        <w:rPr>
          <w:rFonts w:ascii="Helvetica" w:eastAsia="Symbol" w:hAnsi="Helvetica" w:cs="Helvetica"/>
          <w:b/>
          <w:bCs/>
          <w:color w:val="222222"/>
          <w:kern w:val="0"/>
          <w:sz w:val="21"/>
          <w:szCs w:val="21"/>
          <w:lang w:eastAsia="ru-RU"/>
        </w:rPr>
        <w:t>3.3 Российско-Южноафриканское сотрудничество 125 ЗАКЛЮЧЕНИЕ 131 ПРИЛОЖЕНИЯ 137 СПИСОК ЛИТЕРАТУРЫ</w:t>
      </w:r>
    </w:p>
    <w:p w14:paraId="4FDAD129" w14:textId="74BA4CFE" w:rsidR="00BD642D" w:rsidRPr="00061EEA" w:rsidRDefault="00BD642D" w:rsidP="00061EEA"/>
    <w:sectPr w:rsidR="00BD642D" w:rsidRPr="00061E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534D" w14:textId="77777777" w:rsidR="00BA593B" w:rsidRDefault="00BA593B">
      <w:pPr>
        <w:spacing w:after="0" w:line="240" w:lineRule="auto"/>
      </w:pPr>
      <w:r>
        <w:separator/>
      </w:r>
    </w:p>
  </w:endnote>
  <w:endnote w:type="continuationSeparator" w:id="0">
    <w:p w14:paraId="1149391A" w14:textId="77777777" w:rsidR="00BA593B" w:rsidRDefault="00BA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47CE" w14:textId="77777777" w:rsidR="00BA593B" w:rsidRDefault="00BA593B"/>
    <w:p w14:paraId="2ED18912" w14:textId="77777777" w:rsidR="00BA593B" w:rsidRDefault="00BA593B"/>
    <w:p w14:paraId="37844C35" w14:textId="77777777" w:rsidR="00BA593B" w:rsidRDefault="00BA593B"/>
    <w:p w14:paraId="696C70D5" w14:textId="77777777" w:rsidR="00BA593B" w:rsidRDefault="00BA593B"/>
    <w:p w14:paraId="00318495" w14:textId="77777777" w:rsidR="00BA593B" w:rsidRDefault="00BA593B"/>
    <w:p w14:paraId="06B7FC82" w14:textId="77777777" w:rsidR="00BA593B" w:rsidRDefault="00BA593B"/>
    <w:p w14:paraId="5B5EB96E" w14:textId="77777777" w:rsidR="00BA593B" w:rsidRDefault="00BA59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4DCEBF" wp14:editId="610156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16A56" w14:textId="77777777" w:rsidR="00BA593B" w:rsidRDefault="00BA5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DCE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816A56" w14:textId="77777777" w:rsidR="00BA593B" w:rsidRDefault="00BA5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C8DA3" w14:textId="77777777" w:rsidR="00BA593B" w:rsidRDefault="00BA593B"/>
    <w:p w14:paraId="02D28B39" w14:textId="77777777" w:rsidR="00BA593B" w:rsidRDefault="00BA593B"/>
    <w:p w14:paraId="6233B77D" w14:textId="77777777" w:rsidR="00BA593B" w:rsidRDefault="00BA59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76997" wp14:editId="337A75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FB95" w14:textId="77777777" w:rsidR="00BA593B" w:rsidRDefault="00BA593B"/>
                          <w:p w14:paraId="1C0B3256" w14:textId="77777777" w:rsidR="00BA593B" w:rsidRDefault="00BA5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769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C7FB95" w14:textId="77777777" w:rsidR="00BA593B" w:rsidRDefault="00BA593B"/>
                    <w:p w14:paraId="1C0B3256" w14:textId="77777777" w:rsidR="00BA593B" w:rsidRDefault="00BA5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30F93" w14:textId="77777777" w:rsidR="00BA593B" w:rsidRDefault="00BA593B"/>
    <w:p w14:paraId="77497116" w14:textId="77777777" w:rsidR="00BA593B" w:rsidRDefault="00BA593B">
      <w:pPr>
        <w:rPr>
          <w:sz w:val="2"/>
          <w:szCs w:val="2"/>
        </w:rPr>
      </w:pPr>
    </w:p>
    <w:p w14:paraId="57844E67" w14:textId="77777777" w:rsidR="00BA593B" w:rsidRDefault="00BA593B"/>
    <w:p w14:paraId="09C0B78A" w14:textId="77777777" w:rsidR="00BA593B" w:rsidRDefault="00BA593B">
      <w:pPr>
        <w:spacing w:after="0" w:line="240" w:lineRule="auto"/>
      </w:pPr>
    </w:p>
  </w:footnote>
  <w:footnote w:type="continuationSeparator" w:id="0">
    <w:p w14:paraId="3C9567BC" w14:textId="77777777" w:rsidR="00BA593B" w:rsidRDefault="00BA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93B"/>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90893</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3510</cp:revision>
  <cp:lastPrinted>2009-02-06T05:36:00Z</cp:lastPrinted>
  <dcterms:created xsi:type="dcterms:W3CDTF">2024-01-07T13:43:00Z</dcterms:created>
  <dcterms:modified xsi:type="dcterms:W3CDTF">2025-05-07T22:52:00Z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