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536F" w14:textId="77777777" w:rsidR="0085787C" w:rsidRDefault="0085787C" w:rsidP="0085787C">
      <w:pPr>
        <w:pStyle w:val="afffffffffffffffffffffffffff5"/>
        <w:rPr>
          <w:rFonts w:ascii="Verdana" w:hAnsi="Verdana"/>
          <w:color w:val="000000"/>
          <w:sz w:val="21"/>
          <w:szCs w:val="21"/>
        </w:rPr>
      </w:pPr>
      <w:r>
        <w:rPr>
          <w:rFonts w:ascii="Helvetica" w:hAnsi="Helvetica" w:cs="Helvetica"/>
          <w:b/>
          <w:bCs w:val="0"/>
          <w:color w:val="222222"/>
          <w:sz w:val="21"/>
          <w:szCs w:val="21"/>
        </w:rPr>
        <w:t>Еникеева, Светлана Рашидовна.</w:t>
      </w:r>
    </w:p>
    <w:p w14:paraId="747E8B09" w14:textId="77777777" w:rsidR="0085787C" w:rsidRDefault="0085787C" w:rsidP="0085787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Прямые методы решения слабосингулярных интегральных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01.01.01. - Казань, 1998. - 107 с.</w:t>
      </w:r>
    </w:p>
    <w:p w14:paraId="35A8BD93" w14:textId="77777777" w:rsidR="0085787C" w:rsidRDefault="0085787C" w:rsidP="0085787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Еникеева, Светлана Рашидовна</w:t>
      </w:r>
    </w:p>
    <w:p w14:paraId="257D7A0F"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9C05A21"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4E852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Предварительные результаты</w:t>
      </w:r>
    </w:p>
    <w:p w14:paraId="3657B304"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результаты из общей теории приближенных</w:t>
      </w:r>
    </w:p>
    <w:p w14:paraId="5D7B659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методов анализа</w:t>
      </w:r>
    </w:p>
    <w:p w14:paraId="61F6049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Некоторые результаты из теории приближений многочленами</w:t>
      </w:r>
    </w:p>
    <w:p w14:paraId="361BC6F0"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Некоторые соотношения из теории классических ортогональных многочленов</w:t>
      </w:r>
    </w:p>
    <w:p w14:paraId="62ABBF1A"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 интерполяционной квадратурной формуле</w:t>
      </w:r>
    </w:p>
    <w:p w14:paraId="71CF2115"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Квадратурная формула для логарифмического интеграла</w:t>
      </w:r>
    </w:p>
    <w:p w14:paraId="32351E4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3AD6BF17"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Вывод квадратурной формулы</w:t>
      </w:r>
    </w:p>
    <w:p w14:paraId="5B6DAB86"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Алгоритм вычисления интеграла /</w:t>
      </w:r>
      <w:proofErr w:type="gramStart"/>
      <w:r>
        <w:rPr>
          <w:rFonts w:ascii="Arial" w:hAnsi="Arial" w:cs="Arial"/>
          <w:color w:val="333333"/>
          <w:sz w:val="21"/>
          <w:szCs w:val="21"/>
        </w:rPr>
        <w:t>о(</w:t>
      </w:r>
      <w:proofErr w:type="gramEnd"/>
      <w:r>
        <w:rPr>
          <w:rFonts w:ascii="Arial" w:hAnsi="Arial" w:cs="Arial"/>
          <w:color w:val="333333"/>
          <w:sz w:val="21"/>
          <w:szCs w:val="21"/>
        </w:rPr>
        <w:t>£)</w:t>
      </w:r>
    </w:p>
    <w:p w14:paraId="195A092D"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Вычисление последующих интегралов /</w:t>
      </w:r>
      <w:proofErr w:type="gramStart"/>
      <w:r>
        <w:rPr>
          <w:rFonts w:ascii="Arial" w:hAnsi="Arial" w:cs="Arial"/>
          <w:color w:val="333333"/>
          <w:sz w:val="21"/>
          <w:szCs w:val="21"/>
        </w:rPr>
        <w:t>т(</w:t>
      </w:r>
      <w:proofErr w:type="gramEnd"/>
      <w:r>
        <w:rPr>
          <w:rFonts w:ascii="Arial" w:hAnsi="Arial" w:cs="Arial"/>
          <w:color w:val="333333"/>
          <w:sz w:val="21"/>
          <w:szCs w:val="21"/>
        </w:rPr>
        <w:t>£)</w:t>
      </w:r>
    </w:p>
    <w:p w14:paraId="2E1EC07E"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Сходимость и оценка остаточного члена квадратурной формулы</w:t>
      </w:r>
    </w:p>
    <w:p w14:paraId="6CCB5DA4"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Некоторые частные случаи</w:t>
      </w:r>
    </w:p>
    <w:p w14:paraId="50D43B70"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Прямые методы решения </w:t>
      </w:r>
      <w:proofErr w:type="spellStart"/>
      <w:r>
        <w:rPr>
          <w:rFonts w:ascii="Arial" w:hAnsi="Arial" w:cs="Arial"/>
          <w:color w:val="333333"/>
          <w:sz w:val="21"/>
          <w:szCs w:val="21"/>
        </w:rPr>
        <w:t>слабосингулярного</w:t>
      </w:r>
      <w:proofErr w:type="spellEnd"/>
      <w:r>
        <w:rPr>
          <w:rFonts w:ascii="Arial" w:hAnsi="Arial" w:cs="Arial"/>
          <w:color w:val="333333"/>
          <w:sz w:val="21"/>
          <w:szCs w:val="21"/>
        </w:rPr>
        <w:t xml:space="preserve"> интегрального уравнения второго рода</w:t>
      </w:r>
    </w:p>
    <w:p w14:paraId="78F91006"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5E8BC4E"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Вычислительные схемы метода квадратур</w:t>
      </w:r>
    </w:p>
    <w:p w14:paraId="4C8CB535"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Вспомогательные результаты</w:t>
      </w:r>
    </w:p>
    <w:p w14:paraId="4D1086E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Сходимость метода квадратур в среднем</w:t>
      </w:r>
    </w:p>
    <w:p w14:paraId="0E14EF51"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Сходимость метода квадратур в узлах</w:t>
      </w:r>
    </w:p>
    <w:p w14:paraId="542DB94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 равномерной сходимости метода квадратур</w:t>
      </w:r>
    </w:p>
    <w:p w14:paraId="79291A1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Некоторые дополнения</w:t>
      </w:r>
    </w:p>
    <w:p w14:paraId="38DA49D5"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Первый случай</w:t>
      </w:r>
    </w:p>
    <w:p w14:paraId="294F3ED5"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Второй случай</w:t>
      </w:r>
    </w:p>
    <w:p w14:paraId="602A2BA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Третий случай</w:t>
      </w:r>
    </w:p>
    <w:p w14:paraId="4CDA4B76"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Четвертый случай</w:t>
      </w:r>
    </w:p>
    <w:p w14:paraId="6D8DCFDF"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Полиномиальные проекционные методы</w:t>
      </w:r>
    </w:p>
    <w:p w14:paraId="746C8E54"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Метод Боголюбова — Крылова</w:t>
      </w:r>
    </w:p>
    <w:p w14:paraId="039D1126"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Введение</w:t>
      </w:r>
    </w:p>
    <w:p w14:paraId="3BA7902F"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9.2. Метод сил </w:t>
      </w:r>
      <w:proofErr w:type="spellStart"/>
      <w:r>
        <w:rPr>
          <w:rFonts w:ascii="Arial" w:hAnsi="Arial" w:cs="Arial"/>
          <w:color w:val="333333"/>
          <w:sz w:val="21"/>
          <w:szCs w:val="21"/>
        </w:rPr>
        <w:t>айн</w:t>
      </w:r>
      <w:proofErr w:type="spellEnd"/>
      <w:r>
        <w:rPr>
          <w:rFonts w:ascii="Arial" w:hAnsi="Arial" w:cs="Arial"/>
          <w:color w:val="333333"/>
          <w:sz w:val="21"/>
          <w:szCs w:val="21"/>
        </w:rPr>
        <w:t>-кол локаций нулевого порядка</w:t>
      </w:r>
    </w:p>
    <w:p w14:paraId="2653297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9.3. Метод Боголюбова — Крылова</w:t>
      </w:r>
    </w:p>
    <w:p w14:paraId="5F69FA77"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Прямые методы решения </w:t>
      </w:r>
      <w:proofErr w:type="spellStart"/>
      <w:r>
        <w:rPr>
          <w:rFonts w:ascii="Arial" w:hAnsi="Arial" w:cs="Arial"/>
          <w:color w:val="333333"/>
          <w:sz w:val="21"/>
          <w:szCs w:val="21"/>
        </w:rPr>
        <w:t>слабосингулярных</w:t>
      </w:r>
      <w:proofErr w:type="spellEnd"/>
      <w:r>
        <w:rPr>
          <w:rFonts w:ascii="Arial" w:hAnsi="Arial" w:cs="Arial"/>
          <w:color w:val="333333"/>
          <w:sz w:val="21"/>
          <w:szCs w:val="21"/>
        </w:rPr>
        <w:t xml:space="preserve"> интегральных уравнений первого рода</w:t>
      </w:r>
    </w:p>
    <w:p w14:paraId="7FBA915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33662526"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Некоторые свойства </w:t>
      </w:r>
      <w:proofErr w:type="spellStart"/>
      <w:r>
        <w:rPr>
          <w:rFonts w:ascii="Arial" w:hAnsi="Arial" w:cs="Arial"/>
          <w:color w:val="333333"/>
          <w:sz w:val="21"/>
          <w:szCs w:val="21"/>
        </w:rPr>
        <w:t>слабосингулярного</w:t>
      </w:r>
      <w:proofErr w:type="spellEnd"/>
      <w:r>
        <w:rPr>
          <w:rFonts w:ascii="Arial" w:hAnsi="Arial" w:cs="Arial"/>
          <w:color w:val="333333"/>
          <w:sz w:val="21"/>
          <w:szCs w:val="21"/>
        </w:rPr>
        <w:t xml:space="preserve"> оператора</w:t>
      </w:r>
    </w:p>
    <w:p w14:paraId="70ABF05A"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 наименьших квадратов</w:t>
      </w:r>
    </w:p>
    <w:p w14:paraId="0F30ACD3"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ортогональных многочленов</w:t>
      </w:r>
    </w:p>
    <w:p w14:paraId="5962E581"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Метод коллокаций</w:t>
      </w:r>
    </w:p>
    <w:p w14:paraId="420B7150"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Метод последовательных приближений</w:t>
      </w:r>
    </w:p>
    <w:p w14:paraId="4C06CFAC"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Метод механических квадратур</w:t>
      </w:r>
    </w:p>
    <w:p w14:paraId="3C59C982"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 Некоторые замечания и дополнения</w:t>
      </w:r>
    </w:p>
    <w:p w14:paraId="5B9459C4"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Структура обратного оператора и корректная постановка задачи</w:t>
      </w:r>
    </w:p>
    <w:p w14:paraId="6544905D"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8.2. Прямые методы решения </w:t>
      </w:r>
      <w:proofErr w:type="spellStart"/>
      <w:r>
        <w:rPr>
          <w:rFonts w:ascii="Arial" w:hAnsi="Arial" w:cs="Arial"/>
          <w:color w:val="333333"/>
          <w:sz w:val="21"/>
          <w:szCs w:val="21"/>
        </w:rPr>
        <w:t>регуляризованных</w:t>
      </w:r>
      <w:proofErr w:type="spellEnd"/>
      <w:r>
        <w:rPr>
          <w:rFonts w:ascii="Arial" w:hAnsi="Arial" w:cs="Arial"/>
          <w:color w:val="333333"/>
          <w:sz w:val="21"/>
          <w:szCs w:val="21"/>
        </w:rPr>
        <w:t xml:space="preserve"> уравнений</w:t>
      </w:r>
    </w:p>
    <w:p w14:paraId="126329A9" w14:textId="77777777" w:rsidR="0085787C" w:rsidRDefault="0085787C" w:rsidP="008578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B6A49C2" w:rsidR="00F505A7" w:rsidRPr="0085787C" w:rsidRDefault="00F505A7" w:rsidP="0085787C"/>
    <w:sectPr w:rsidR="00F505A7" w:rsidRPr="008578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D139" w14:textId="77777777" w:rsidR="006F2295" w:rsidRDefault="006F2295">
      <w:pPr>
        <w:spacing w:after="0" w:line="240" w:lineRule="auto"/>
      </w:pPr>
      <w:r>
        <w:separator/>
      </w:r>
    </w:p>
  </w:endnote>
  <w:endnote w:type="continuationSeparator" w:id="0">
    <w:p w14:paraId="44F49D23" w14:textId="77777777" w:rsidR="006F2295" w:rsidRDefault="006F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5055" w14:textId="77777777" w:rsidR="006F2295" w:rsidRDefault="006F2295"/>
    <w:p w14:paraId="2C47B82E" w14:textId="77777777" w:rsidR="006F2295" w:rsidRDefault="006F2295"/>
    <w:p w14:paraId="56717462" w14:textId="77777777" w:rsidR="006F2295" w:rsidRDefault="006F2295"/>
    <w:p w14:paraId="598AABDE" w14:textId="77777777" w:rsidR="006F2295" w:rsidRDefault="006F2295"/>
    <w:p w14:paraId="37F03C70" w14:textId="77777777" w:rsidR="006F2295" w:rsidRDefault="006F2295"/>
    <w:p w14:paraId="164B77E5" w14:textId="77777777" w:rsidR="006F2295" w:rsidRDefault="006F2295"/>
    <w:p w14:paraId="6843528C" w14:textId="77777777" w:rsidR="006F2295" w:rsidRDefault="006F22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598EED" wp14:editId="5BCD12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7C5E2" w14:textId="77777777" w:rsidR="006F2295" w:rsidRDefault="006F2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98E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C7C5E2" w14:textId="77777777" w:rsidR="006F2295" w:rsidRDefault="006F2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2B433" w14:textId="77777777" w:rsidR="006F2295" w:rsidRDefault="006F2295"/>
    <w:p w14:paraId="3D880595" w14:textId="77777777" w:rsidR="006F2295" w:rsidRDefault="006F2295"/>
    <w:p w14:paraId="264B051D" w14:textId="77777777" w:rsidR="006F2295" w:rsidRDefault="006F22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D7BBD" wp14:editId="02C0F6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DA12" w14:textId="77777777" w:rsidR="006F2295" w:rsidRDefault="006F2295"/>
                          <w:p w14:paraId="36E0A581" w14:textId="77777777" w:rsidR="006F2295" w:rsidRDefault="006F2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D7B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EDA12" w14:textId="77777777" w:rsidR="006F2295" w:rsidRDefault="006F2295"/>
                    <w:p w14:paraId="36E0A581" w14:textId="77777777" w:rsidR="006F2295" w:rsidRDefault="006F2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0FF72A" w14:textId="77777777" w:rsidR="006F2295" w:rsidRDefault="006F2295"/>
    <w:p w14:paraId="2A89C0A1" w14:textId="77777777" w:rsidR="006F2295" w:rsidRDefault="006F2295">
      <w:pPr>
        <w:rPr>
          <w:sz w:val="2"/>
          <w:szCs w:val="2"/>
        </w:rPr>
      </w:pPr>
    </w:p>
    <w:p w14:paraId="01AFA713" w14:textId="77777777" w:rsidR="006F2295" w:rsidRDefault="006F2295"/>
    <w:p w14:paraId="4AA93B6D" w14:textId="77777777" w:rsidR="006F2295" w:rsidRDefault="006F2295">
      <w:pPr>
        <w:spacing w:after="0" w:line="240" w:lineRule="auto"/>
      </w:pPr>
    </w:p>
  </w:footnote>
  <w:footnote w:type="continuationSeparator" w:id="0">
    <w:p w14:paraId="6E000F57" w14:textId="77777777" w:rsidR="006F2295" w:rsidRDefault="006F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95"/>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104973</TotalTime>
  <Pages>3</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1206</cp:revision>
  <cp:lastPrinted>2009-02-06T05:36:00Z</cp:lastPrinted>
  <dcterms:created xsi:type="dcterms:W3CDTF">2024-01-07T13:43:00Z</dcterms:created>
  <dcterms:modified xsi:type="dcterms:W3CDTF">2025-06-01T19:19:00Z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