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35490" w14:textId="77777777" w:rsidR="00B7139C" w:rsidRPr="00B7139C" w:rsidRDefault="00B7139C" w:rsidP="00B7139C">
      <w:pPr>
        <w:rPr>
          <w:rFonts w:ascii="Helvetica" w:eastAsia="Symbol" w:hAnsi="Helvetica" w:cs="Helvetica"/>
          <w:b/>
          <w:bCs/>
          <w:color w:val="222222"/>
          <w:kern w:val="0"/>
          <w:sz w:val="21"/>
          <w:szCs w:val="21"/>
          <w:lang w:eastAsia="ru-RU"/>
        </w:rPr>
      </w:pPr>
      <w:r w:rsidRPr="00B7139C">
        <w:rPr>
          <w:rFonts w:ascii="Helvetica" w:eastAsia="Symbol" w:hAnsi="Helvetica" w:cs="Helvetica"/>
          <w:b/>
          <w:bCs/>
          <w:color w:val="222222"/>
          <w:kern w:val="0"/>
          <w:sz w:val="21"/>
          <w:szCs w:val="21"/>
          <w:lang w:eastAsia="ru-RU"/>
        </w:rPr>
        <w:t>Курбатов, Петр Федорович.</w:t>
      </w:r>
    </w:p>
    <w:p w14:paraId="1E9FF5D4" w14:textId="77777777" w:rsidR="00B7139C" w:rsidRPr="00B7139C" w:rsidRDefault="00B7139C" w:rsidP="00B7139C">
      <w:pPr>
        <w:rPr>
          <w:rFonts w:ascii="Helvetica" w:eastAsia="Symbol" w:hAnsi="Helvetica" w:cs="Helvetica"/>
          <w:b/>
          <w:bCs/>
          <w:color w:val="222222"/>
          <w:kern w:val="0"/>
          <w:sz w:val="21"/>
          <w:szCs w:val="21"/>
          <w:lang w:eastAsia="ru-RU"/>
        </w:rPr>
      </w:pPr>
      <w:r w:rsidRPr="00B7139C">
        <w:rPr>
          <w:rFonts w:ascii="Helvetica" w:eastAsia="Symbol" w:hAnsi="Helvetica" w:cs="Helvetica"/>
          <w:b/>
          <w:bCs/>
          <w:color w:val="222222"/>
          <w:kern w:val="0"/>
          <w:sz w:val="21"/>
          <w:szCs w:val="21"/>
          <w:lang w:eastAsia="ru-RU"/>
        </w:rPr>
        <w:t>Мультиплетное перемешивание и его влияние на режимы генерации гелий-ксенонового лазера на переходах 5d-6pXeI : диссертация ... кандидата физико-математических наук : 01.04.04. - Новосибирск, 1984. - 154 с. : ил.</w:t>
      </w:r>
    </w:p>
    <w:p w14:paraId="79A678F7" w14:textId="77777777" w:rsidR="00B7139C" w:rsidRPr="00B7139C" w:rsidRDefault="00B7139C" w:rsidP="00B7139C">
      <w:pPr>
        <w:rPr>
          <w:rFonts w:ascii="Helvetica" w:eastAsia="Symbol" w:hAnsi="Helvetica" w:cs="Helvetica"/>
          <w:b/>
          <w:bCs/>
          <w:color w:val="222222"/>
          <w:kern w:val="0"/>
          <w:sz w:val="21"/>
          <w:szCs w:val="21"/>
          <w:lang w:eastAsia="ru-RU"/>
        </w:rPr>
      </w:pPr>
      <w:r w:rsidRPr="00B7139C">
        <w:rPr>
          <w:rFonts w:ascii="Helvetica" w:eastAsia="Symbol" w:hAnsi="Helvetica" w:cs="Helvetica"/>
          <w:b/>
          <w:bCs/>
          <w:color w:val="222222"/>
          <w:kern w:val="0"/>
          <w:sz w:val="21"/>
          <w:szCs w:val="21"/>
          <w:lang w:eastAsia="ru-RU"/>
        </w:rPr>
        <w:t>Оглавление диссертациикандидат физико-математических наук Курбатов, Петр Федорович</w:t>
      </w:r>
    </w:p>
    <w:p w14:paraId="027B895B" w14:textId="77777777" w:rsidR="00B7139C" w:rsidRPr="00B7139C" w:rsidRDefault="00B7139C" w:rsidP="00B7139C">
      <w:pPr>
        <w:rPr>
          <w:rFonts w:ascii="Helvetica" w:eastAsia="Symbol" w:hAnsi="Helvetica" w:cs="Helvetica"/>
          <w:b/>
          <w:bCs/>
          <w:color w:val="222222"/>
          <w:kern w:val="0"/>
          <w:sz w:val="21"/>
          <w:szCs w:val="21"/>
          <w:lang w:eastAsia="ru-RU"/>
        </w:rPr>
      </w:pPr>
      <w:r w:rsidRPr="00B7139C">
        <w:rPr>
          <w:rFonts w:ascii="Helvetica" w:eastAsia="Symbol" w:hAnsi="Helvetica" w:cs="Helvetica"/>
          <w:b/>
          <w:bCs/>
          <w:color w:val="222222"/>
          <w:kern w:val="0"/>
          <w:sz w:val="21"/>
          <w:szCs w:val="21"/>
          <w:lang w:eastAsia="ru-RU"/>
        </w:rPr>
        <w:t>введение.</w:t>
      </w:r>
    </w:p>
    <w:p w14:paraId="585111A5" w14:textId="77777777" w:rsidR="00B7139C" w:rsidRPr="00B7139C" w:rsidRDefault="00B7139C" w:rsidP="00B7139C">
      <w:pPr>
        <w:rPr>
          <w:rFonts w:ascii="Helvetica" w:eastAsia="Symbol" w:hAnsi="Helvetica" w:cs="Helvetica"/>
          <w:b/>
          <w:bCs/>
          <w:color w:val="222222"/>
          <w:kern w:val="0"/>
          <w:sz w:val="21"/>
          <w:szCs w:val="21"/>
          <w:lang w:eastAsia="ru-RU"/>
        </w:rPr>
      </w:pPr>
      <w:r w:rsidRPr="00B7139C">
        <w:rPr>
          <w:rFonts w:ascii="Helvetica" w:eastAsia="Symbol" w:hAnsi="Helvetica" w:cs="Helvetica"/>
          <w:b/>
          <w:bCs/>
          <w:color w:val="222222"/>
          <w:kern w:val="0"/>
          <w:sz w:val="21"/>
          <w:szCs w:val="21"/>
          <w:lang w:eastAsia="ru-RU"/>
        </w:rPr>
        <w:t>ГЛАВА. I. ДАННЫЕ О ВОЗБУЖДЕНИИ И РЕЛАКСАЦИИ СОСТОЯНИЙ</w:t>
      </w:r>
    </w:p>
    <w:p w14:paraId="391EB984" w14:textId="77777777" w:rsidR="00B7139C" w:rsidRPr="00B7139C" w:rsidRDefault="00B7139C" w:rsidP="00B7139C">
      <w:pPr>
        <w:rPr>
          <w:rFonts w:ascii="Helvetica" w:eastAsia="Symbol" w:hAnsi="Helvetica" w:cs="Helvetica"/>
          <w:b/>
          <w:bCs/>
          <w:color w:val="222222"/>
          <w:kern w:val="0"/>
          <w:sz w:val="21"/>
          <w:szCs w:val="21"/>
          <w:lang w:eastAsia="ru-RU"/>
        </w:rPr>
      </w:pPr>
      <w:r w:rsidRPr="00B7139C">
        <w:rPr>
          <w:rFonts w:ascii="Helvetica" w:eastAsia="Symbol" w:hAnsi="Helvetica" w:cs="Helvetica"/>
          <w:b/>
          <w:bCs/>
          <w:color w:val="222222"/>
          <w:kern w:val="0"/>
          <w:sz w:val="21"/>
          <w:szCs w:val="21"/>
          <w:lang w:eastAsia="ru-RU"/>
        </w:rPr>
        <w:t>НЕЙТРАЛЬНОГО КСЕНОНА - Хе I . ОБЗОР ЛИТЕРАТУРЫ 1.1. Релаксация возбужденных состояний Хе I в разряде ксенона и ее влияние на параметры газоразрядной плазмы. Основные типы процессов в разряде ксенона при давлениях 1*10 Па.</w:t>
      </w:r>
    </w:p>
    <w:p w14:paraId="6ABFCDE0" w14:textId="77777777" w:rsidR="00B7139C" w:rsidRPr="00B7139C" w:rsidRDefault="00B7139C" w:rsidP="00B7139C">
      <w:pPr>
        <w:rPr>
          <w:rFonts w:ascii="Helvetica" w:eastAsia="Symbol" w:hAnsi="Helvetica" w:cs="Helvetica"/>
          <w:b/>
          <w:bCs/>
          <w:color w:val="222222"/>
          <w:kern w:val="0"/>
          <w:sz w:val="21"/>
          <w:szCs w:val="21"/>
          <w:lang w:eastAsia="ru-RU"/>
        </w:rPr>
      </w:pPr>
      <w:r w:rsidRPr="00B7139C">
        <w:rPr>
          <w:rFonts w:ascii="Helvetica" w:eastAsia="Symbol" w:hAnsi="Helvetica" w:cs="Helvetica"/>
          <w:b/>
          <w:bCs/>
          <w:color w:val="222222"/>
          <w:kern w:val="0"/>
          <w:sz w:val="21"/>
          <w:szCs w:val="21"/>
          <w:lang w:eastAsia="ru-RU"/>
        </w:rPr>
        <w:t>1.2. Влияние буферного газа Не на электронную температуру и плотность в лазере на переходах</w:t>
      </w:r>
    </w:p>
    <w:p w14:paraId="5B49EACE" w14:textId="77777777" w:rsidR="00B7139C" w:rsidRPr="00B7139C" w:rsidRDefault="00B7139C" w:rsidP="00B7139C">
      <w:pPr>
        <w:rPr>
          <w:rFonts w:ascii="Helvetica" w:eastAsia="Symbol" w:hAnsi="Helvetica" w:cs="Helvetica"/>
          <w:b/>
          <w:bCs/>
          <w:color w:val="222222"/>
          <w:kern w:val="0"/>
          <w:sz w:val="21"/>
          <w:szCs w:val="21"/>
          <w:lang w:eastAsia="ru-RU"/>
        </w:rPr>
      </w:pPr>
      <w:r w:rsidRPr="00B7139C">
        <w:rPr>
          <w:rFonts w:ascii="Helvetica" w:eastAsia="Symbol" w:hAnsi="Helvetica" w:cs="Helvetica"/>
          <w:b/>
          <w:bCs/>
          <w:color w:val="222222"/>
          <w:kern w:val="0"/>
          <w:sz w:val="21"/>
          <w:szCs w:val="21"/>
          <w:lang w:eastAsia="ru-RU"/>
        </w:rPr>
        <w:t>1.3. Радиационные времена жизни, столкноштельные сечения и сечения возбуждения лазерных уровней X е I.</w:t>
      </w:r>
    </w:p>
    <w:p w14:paraId="3DC1D846" w14:textId="77777777" w:rsidR="00B7139C" w:rsidRPr="00B7139C" w:rsidRDefault="00B7139C" w:rsidP="00B7139C">
      <w:pPr>
        <w:rPr>
          <w:rFonts w:ascii="Helvetica" w:eastAsia="Symbol" w:hAnsi="Helvetica" w:cs="Helvetica"/>
          <w:b/>
          <w:bCs/>
          <w:color w:val="222222"/>
          <w:kern w:val="0"/>
          <w:sz w:val="21"/>
          <w:szCs w:val="21"/>
          <w:lang w:eastAsia="ru-RU"/>
        </w:rPr>
      </w:pPr>
      <w:r w:rsidRPr="00B7139C">
        <w:rPr>
          <w:rFonts w:ascii="Helvetica" w:eastAsia="Symbol" w:hAnsi="Helvetica" w:cs="Helvetica"/>
          <w:b/>
          <w:bCs/>
          <w:color w:val="222222"/>
          <w:kern w:val="0"/>
          <w:sz w:val="21"/>
          <w:szCs w:val="21"/>
          <w:lang w:eastAsia="ru-RU"/>
        </w:rPr>
        <w:t>ГЛАВА 2. ПРИРОДА СВЕРХИЗЛУЧЕНИЯ НЕКОТОРЫХ ЛИНИЙ СПЕКТРАЛЬНОГО МУЛЬТИПЛЕТА 5Л- бр Хе I В ПРИСУТСТВИИ БУФЕРНОГО ГАЗА Н е</w:t>
      </w:r>
    </w:p>
    <w:p w14:paraId="5092BD6F" w14:textId="77777777" w:rsidR="00B7139C" w:rsidRPr="00B7139C" w:rsidRDefault="00B7139C" w:rsidP="00B7139C">
      <w:pPr>
        <w:rPr>
          <w:rFonts w:ascii="Helvetica" w:eastAsia="Symbol" w:hAnsi="Helvetica" w:cs="Helvetica"/>
          <w:b/>
          <w:bCs/>
          <w:color w:val="222222"/>
          <w:kern w:val="0"/>
          <w:sz w:val="21"/>
          <w:szCs w:val="21"/>
          <w:lang w:eastAsia="ru-RU"/>
        </w:rPr>
      </w:pPr>
      <w:r w:rsidRPr="00B7139C">
        <w:rPr>
          <w:rFonts w:ascii="Helvetica" w:eastAsia="Symbol" w:hAnsi="Helvetica" w:cs="Helvetica"/>
          <w:b/>
          <w:bCs/>
          <w:color w:val="222222"/>
          <w:kern w:val="0"/>
          <w:sz w:val="21"/>
          <w:szCs w:val="21"/>
          <w:lang w:eastAsia="ru-RU"/>
        </w:rPr>
        <w:t>2.1. Изотопический эффект</w:t>
      </w:r>
    </w:p>
    <w:p w14:paraId="287A3A85" w14:textId="77777777" w:rsidR="00B7139C" w:rsidRPr="00B7139C" w:rsidRDefault="00B7139C" w:rsidP="00B7139C">
      <w:pPr>
        <w:rPr>
          <w:rFonts w:ascii="Helvetica" w:eastAsia="Symbol" w:hAnsi="Helvetica" w:cs="Helvetica"/>
          <w:b/>
          <w:bCs/>
          <w:color w:val="222222"/>
          <w:kern w:val="0"/>
          <w:sz w:val="21"/>
          <w:szCs w:val="21"/>
          <w:lang w:eastAsia="ru-RU"/>
        </w:rPr>
      </w:pPr>
      <w:r w:rsidRPr="00B7139C">
        <w:rPr>
          <w:rFonts w:ascii="Helvetica" w:eastAsia="Symbol" w:hAnsi="Helvetica" w:cs="Helvetica"/>
          <w:b/>
          <w:bCs/>
          <w:color w:val="222222"/>
          <w:kern w:val="0"/>
          <w:sz w:val="21"/>
          <w:szCs w:val="21"/>
          <w:lang w:eastAsia="ru-RU"/>
        </w:rPr>
        <w:t>2.2. Обнаружение канала мультиплетного перемешивания между уровнями Бслтг и 5 с/17/2] , инициируемого гелием.</w:t>
      </w:r>
    </w:p>
    <w:p w14:paraId="7423C912" w14:textId="77777777" w:rsidR="00B7139C" w:rsidRPr="00B7139C" w:rsidRDefault="00B7139C" w:rsidP="00B7139C">
      <w:pPr>
        <w:rPr>
          <w:rFonts w:ascii="Helvetica" w:eastAsia="Symbol" w:hAnsi="Helvetica" w:cs="Helvetica"/>
          <w:b/>
          <w:bCs/>
          <w:color w:val="222222"/>
          <w:kern w:val="0"/>
          <w:sz w:val="21"/>
          <w:szCs w:val="21"/>
          <w:lang w:eastAsia="ru-RU"/>
        </w:rPr>
      </w:pPr>
      <w:r w:rsidRPr="00B7139C">
        <w:rPr>
          <w:rFonts w:ascii="Helvetica" w:eastAsia="Symbol" w:hAnsi="Helvetica" w:cs="Helvetica"/>
          <w:b/>
          <w:bCs/>
          <w:color w:val="222222"/>
          <w:kern w:val="0"/>
          <w:sz w:val="21"/>
          <w:szCs w:val="21"/>
          <w:lang w:eastAsia="ru-RU"/>
        </w:rPr>
        <w:t>2.3. Интерпретация экспериментальных результатов и теоретические оценки</w:t>
      </w:r>
    </w:p>
    <w:p w14:paraId="1BE59FB1" w14:textId="77777777" w:rsidR="00B7139C" w:rsidRPr="00B7139C" w:rsidRDefault="00B7139C" w:rsidP="00B7139C">
      <w:pPr>
        <w:rPr>
          <w:rFonts w:ascii="Helvetica" w:eastAsia="Symbol" w:hAnsi="Helvetica" w:cs="Helvetica"/>
          <w:b/>
          <w:bCs/>
          <w:color w:val="222222"/>
          <w:kern w:val="0"/>
          <w:sz w:val="21"/>
          <w:szCs w:val="21"/>
          <w:lang w:eastAsia="ru-RU"/>
        </w:rPr>
      </w:pPr>
      <w:r w:rsidRPr="00B7139C">
        <w:rPr>
          <w:rFonts w:ascii="Helvetica" w:eastAsia="Symbol" w:hAnsi="Helvetica" w:cs="Helvetica"/>
          <w:b/>
          <w:bCs/>
          <w:color w:val="222222"/>
          <w:kern w:val="0"/>
          <w:sz w:val="21"/>
          <w:szCs w:val="21"/>
          <w:lang w:eastAsia="ru-RU"/>
        </w:rPr>
        <w:t>2.4. Влияние канала мультиплетного перемешивания на коэффициент усиления и выходную мощность. Модельный расчет и эксперимент</w:t>
      </w:r>
    </w:p>
    <w:p w14:paraId="532C0F5C" w14:textId="77777777" w:rsidR="00B7139C" w:rsidRPr="00B7139C" w:rsidRDefault="00B7139C" w:rsidP="00B7139C">
      <w:pPr>
        <w:rPr>
          <w:rFonts w:ascii="Helvetica" w:eastAsia="Symbol" w:hAnsi="Helvetica" w:cs="Helvetica"/>
          <w:b/>
          <w:bCs/>
          <w:color w:val="222222"/>
          <w:kern w:val="0"/>
          <w:sz w:val="21"/>
          <w:szCs w:val="21"/>
          <w:lang w:eastAsia="ru-RU"/>
        </w:rPr>
      </w:pPr>
      <w:r w:rsidRPr="00B7139C">
        <w:rPr>
          <w:rFonts w:ascii="Helvetica" w:eastAsia="Symbol" w:hAnsi="Helvetica" w:cs="Helvetica"/>
          <w:b/>
          <w:bCs/>
          <w:color w:val="222222"/>
          <w:kern w:val="0"/>
          <w:sz w:val="21"/>
          <w:szCs w:val="21"/>
          <w:lang w:eastAsia="ru-RU"/>
        </w:rPr>
        <w:t>ГЛАВА 3. ПОЛЯРИЗАЦИОННЫЕ РЕШИ ГЕНЕРАЦИИ ЛАЗЕРОВ НА НЕКОТОРЫХ СИЛЬНЫХ ПЕРЕХОДАХ X е I</w:t>
      </w:r>
    </w:p>
    <w:p w14:paraId="5C560FE4" w14:textId="77777777" w:rsidR="00B7139C" w:rsidRPr="00B7139C" w:rsidRDefault="00B7139C" w:rsidP="00B7139C">
      <w:pPr>
        <w:rPr>
          <w:rFonts w:ascii="Helvetica" w:eastAsia="Symbol" w:hAnsi="Helvetica" w:cs="Helvetica"/>
          <w:b/>
          <w:bCs/>
          <w:color w:val="222222"/>
          <w:kern w:val="0"/>
          <w:sz w:val="21"/>
          <w:szCs w:val="21"/>
          <w:lang w:eastAsia="ru-RU"/>
        </w:rPr>
      </w:pPr>
      <w:r w:rsidRPr="00B7139C">
        <w:rPr>
          <w:rFonts w:ascii="Helvetica" w:eastAsia="Symbol" w:hAnsi="Helvetica" w:cs="Helvetica"/>
          <w:b/>
          <w:bCs/>
          <w:color w:val="222222"/>
          <w:kern w:val="0"/>
          <w:sz w:val="21"/>
          <w:szCs w:val="21"/>
          <w:lang w:eastAsia="ru-RU"/>
        </w:rPr>
        <w:t>3.1. Основы теории газовых лазеров в слабом магнитном поле.</w:t>
      </w:r>
    </w:p>
    <w:p w14:paraId="6CAC8501" w14:textId="77777777" w:rsidR="00B7139C" w:rsidRPr="00B7139C" w:rsidRDefault="00B7139C" w:rsidP="00B7139C">
      <w:pPr>
        <w:rPr>
          <w:rFonts w:ascii="Helvetica" w:eastAsia="Symbol" w:hAnsi="Helvetica" w:cs="Helvetica"/>
          <w:b/>
          <w:bCs/>
          <w:color w:val="222222"/>
          <w:kern w:val="0"/>
          <w:sz w:val="21"/>
          <w:szCs w:val="21"/>
          <w:lang w:eastAsia="ru-RU"/>
        </w:rPr>
      </w:pPr>
      <w:r w:rsidRPr="00B7139C">
        <w:rPr>
          <w:rFonts w:ascii="Helvetica" w:eastAsia="Symbol" w:hAnsi="Helvetica" w:cs="Helvetica"/>
          <w:b/>
          <w:bCs/>
          <w:color w:val="222222"/>
          <w:kern w:val="0"/>
          <w:sz w:val="21"/>
          <w:szCs w:val="21"/>
          <w:lang w:eastAsia="ru-RU"/>
        </w:rPr>
        <w:t>3.2. Бистабильность и поляризационные режимы генерации Не-Хе лазера на переходе 5 с( [3/21 "</w:t>
      </w:r>
    </w:p>
    <w:p w14:paraId="317755C6" w14:textId="77777777" w:rsidR="00B7139C" w:rsidRPr="00B7139C" w:rsidRDefault="00B7139C" w:rsidP="00B7139C">
      <w:pPr>
        <w:rPr>
          <w:rFonts w:ascii="Helvetica" w:eastAsia="Symbol" w:hAnsi="Helvetica" w:cs="Helvetica"/>
          <w:b/>
          <w:bCs/>
          <w:color w:val="222222"/>
          <w:kern w:val="0"/>
          <w:sz w:val="21"/>
          <w:szCs w:val="21"/>
          <w:lang w:eastAsia="ru-RU"/>
        </w:rPr>
      </w:pPr>
      <w:r w:rsidRPr="00B7139C">
        <w:rPr>
          <w:rFonts w:ascii="Helvetica" w:eastAsia="Symbol" w:hAnsi="Helvetica" w:cs="Helvetica"/>
          <w:b/>
          <w:bCs/>
          <w:color w:val="222222"/>
          <w:kern w:val="0"/>
          <w:sz w:val="21"/>
          <w:szCs w:val="21"/>
          <w:lang w:eastAsia="ru-RU"/>
        </w:rPr>
        <w:t>6р[3/2]1 изотопа ,ьбХе в слабом магнитном поле.</w:t>
      </w:r>
    </w:p>
    <w:p w14:paraId="4A2261AC" w14:textId="77777777" w:rsidR="00B7139C" w:rsidRPr="00B7139C" w:rsidRDefault="00B7139C" w:rsidP="00B7139C">
      <w:pPr>
        <w:rPr>
          <w:rFonts w:ascii="Helvetica" w:eastAsia="Symbol" w:hAnsi="Helvetica" w:cs="Helvetica"/>
          <w:b/>
          <w:bCs/>
          <w:color w:val="222222"/>
          <w:kern w:val="0"/>
          <w:sz w:val="21"/>
          <w:szCs w:val="21"/>
          <w:lang w:eastAsia="ru-RU"/>
        </w:rPr>
      </w:pPr>
      <w:r w:rsidRPr="00B7139C">
        <w:rPr>
          <w:rFonts w:ascii="Helvetica" w:eastAsia="Symbol" w:hAnsi="Helvetica" w:cs="Helvetica"/>
          <w:b/>
          <w:bCs/>
          <w:color w:val="222222"/>
          <w:kern w:val="0"/>
          <w:sz w:val="21"/>
          <w:szCs w:val="21"/>
          <w:lang w:eastAsia="ru-RU"/>
        </w:rPr>
        <w:t>3.3. Поляризационные режимы генерации лазера на переходе 5&lt;Ц7/2]°~ 6 р[5/2]гизотопа 1Ь6 X е в слабом магнитном поле в присутствии буферного газа Не.</w:t>
      </w:r>
    </w:p>
    <w:p w14:paraId="2409EE09" w14:textId="77777777" w:rsidR="00B7139C" w:rsidRPr="00B7139C" w:rsidRDefault="00B7139C" w:rsidP="00B7139C">
      <w:pPr>
        <w:rPr>
          <w:rFonts w:ascii="Helvetica" w:eastAsia="Symbol" w:hAnsi="Helvetica" w:cs="Helvetica"/>
          <w:b/>
          <w:bCs/>
          <w:color w:val="222222"/>
          <w:kern w:val="0"/>
          <w:sz w:val="21"/>
          <w:szCs w:val="21"/>
          <w:lang w:eastAsia="ru-RU"/>
        </w:rPr>
      </w:pPr>
      <w:r w:rsidRPr="00B7139C">
        <w:rPr>
          <w:rFonts w:ascii="Helvetica" w:eastAsia="Symbol" w:hAnsi="Helvetica" w:cs="Helvetica"/>
          <w:b/>
          <w:bCs/>
          <w:color w:val="222222"/>
          <w:kern w:val="0"/>
          <w:sz w:val="21"/>
          <w:szCs w:val="21"/>
          <w:lang w:eastAsia="ru-RU"/>
        </w:rPr>
        <w:t>ВЫВОДЫ.</w:t>
      </w:r>
    </w:p>
    <w:p w14:paraId="2BFD8DFC" w14:textId="77777777" w:rsidR="00B7139C" w:rsidRPr="00B7139C" w:rsidRDefault="00B7139C" w:rsidP="00B7139C">
      <w:pPr>
        <w:rPr>
          <w:rFonts w:ascii="Helvetica" w:eastAsia="Symbol" w:hAnsi="Helvetica" w:cs="Helvetica"/>
          <w:b/>
          <w:bCs/>
          <w:color w:val="222222"/>
          <w:kern w:val="0"/>
          <w:sz w:val="21"/>
          <w:szCs w:val="21"/>
          <w:lang w:eastAsia="ru-RU"/>
        </w:rPr>
      </w:pPr>
      <w:r w:rsidRPr="00B7139C">
        <w:rPr>
          <w:rFonts w:ascii="Helvetica" w:eastAsia="Symbol" w:hAnsi="Helvetica" w:cs="Helvetica"/>
          <w:b/>
          <w:bCs/>
          <w:color w:val="222222"/>
          <w:kern w:val="0"/>
          <w:sz w:val="21"/>
          <w:szCs w:val="21"/>
          <w:lang w:eastAsia="ru-RU"/>
        </w:rPr>
        <w:t>ЗШШЕНИЕ</w:t>
      </w:r>
    </w:p>
    <w:p w14:paraId="3869883D" w14:textId="60BA7A88" w:rsidR="00F11235" w:rsidRPr="00B7139C" w:rsidRDefault="00F11235" w:rsidP="00B7139C"/>
    <w:sectPr w:rsidR="00F11235" w:rsidRPr="00B7139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41907" w14:textId="77777777" w:rsidR="004E050E" w:rsidRDefault="004E050E">
      <w:pPr>
        <w:spacing w:after="0" w:line="240" w:lineRule="auto"/>
      </w:pPr>
      <w:r>
        <w:separator/>
      </w:r>
    </w:p>
  </w:endnote>
  <w:endnote w:type="continuationSeparator" w:id="0">
    <w:p w14:paraId="3ABC52FD" w14:textId="77777777" w:rsidR="004E050E" w:rsidRDefault="004E0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E1626" w14:textId="77777777" w:rsidR="004E050E" w:rsidRDefault="004E050E"/>
    <w:p w14:paraId="26F4878C" w14:textId="77777777" w:rsidR="004E050E" w:rsidRDefault="004E050E"/>
    <w:p w14:paraId="0E00D43D" w14:textId="77777777" w:rsidR="004E050E" w:rsidRDefault="004E050E"/>
    <w:p w14:paraId="50DADB7C" w14:textId="77777777" w:rsidR="004E050E" w:rsidRDefault="004E050E"/>
    <w:p w14:paraId="77230E24" w14:textId="77777777" w:rsidR="004E050E" w:rsidRDefault="004E050E"/>
    <w:p w14:paraId="16E28313" w14:textId="77777777" w:rsidR="004E050E" w:rsidRDefault="004E050E"/>
    <w:p w14:paraId="0ACB3D75" w14:textId="77777777" w:rsidR="004E050E" w:rsidRDefault="004E05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F38E46" wp14:editId="7CA5FF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864E3" w14:textId="77777777" w:rsidR="004E050E" w:rsidRDefault="004E05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F38E4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4864E3" w14:textId="77777777" w:rsidR="004E050E" w:rsidRDefault="004E05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0164E8" w14:textId="77777777" w:rsidR="004E050E" w:rsidRDefault="004E050E"/>
    <w:p w14:paraId="7A88E2FB" w14:textId="77777777" w:rsidR="004E050E" w:rsidRDefault="004E050E"/>
    <w:p w14:paraId="7078BB0E" w14:textId="77777777" w:rsidR="004E050E" w:rsidRDefault="004E05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5521AB" wp14:editId="67F95E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2BF9D" w14:textId="77777777" w:rsidR="004E050E" w:rsidRDefault="004E050E"/>
                          <w:p w14:paraId="3DBD97BE" w14:textId="77777777" w:rsidR="004E050E" w:rsidRDefault="004E05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5521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42BF9D" w14:textId="77777777" w:rsidR="004E050E" w:rsidRDefault="004E050E"/>
                    <w:p w14:paraId="3DBD97BE" w14:textId="77777777" w:rsidR="004E050E" w:rsidRDefault="004E05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ACFC4C" w14:textId="77777777" w:rsidR="004E050E" w:rsidRDefault="004E050E"/>
    <w:p w14:paraId="2157E553" w14:textId="77777777" w:rsidR="004E050E" w:rsidRDefault="004E050E">
      <w:pPr>
        <w:rPr>
          <w:sz w:val="2"/>
          <w:szCs w:val="2"/>
        </w:rPr>
      </w:pPr>
    </w:p>
    <w:p w14:paraId="44056257" w14:textId="77777777" w:rsidR="004E050E" w:rsidRDefault="004E050E"/>
    <w:p w14:paraId="1D9A7E7F" w14:textId="77777777" w:rsidR="004E050E" w:rsidRDefault="004E050E">
      <w:pPr>
        <w:spacing w:after="0" w:line="240" w:lineRule="auto"/>
      </w:pPr>
    </w:p>
  </w:footnote>
  <w:footnote w:type="continuationSeparator" w:id="0">
    <w:p w14:paraId="31BF3E53" w14:textId="77777777" w:rsidR="004E050E" w:rsidRDefault="004E0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0E"/>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173792</TotalTime>
  <Pages>1</Pages>
  <Words>254</Words>
  <Characters>1452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5549</cp:revision>
  <cp:lastPrinted>2009-02-06T05:36:00Z</cp:lastPrinted>
  <dcterms:created xsi:type="dcterms:W3CDTF">2024-01-07T13:43:00Z</dcterms:created>
  <dcterms:modified xsi:type="dcterms:W3CDTF">2025-09-30T15:43:00Z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