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51FC" w14:textId="74769564" w:rsidR="007D0A0A" w:rsidRDefault="006003E6" w:rsidP="006003E6">
      <w:pPr>
        <w:rPr>
          <w:rFonts w:ascii="Verdana" w:hAnsi="Verdana"/>
          <w:b/>
          <w:bCs/>
          <w:color w:val="000000"/>
          <w:shd w:val="clear" w:color="auto" w:fill="FFFFFF"/>
        </w:rPr>
      </w:pPr>
      <w:r>
        <w:rPr>
          <w:rFonts w:ascii="Verdana" w:hAnsi="Verdana"/>
          <w:b/>
          <w:bCs/>
          <w:color w:val="000000"/>
          <w:shd w:val="clear" w:color="auto" w:fill="FFFFFF"/>
        </w:rPr>
        <w:t xml:space="preserve">Костюковська Ганна Євгеніївна. Структурно-функціональна характеристика лакунарних інфарктів головного мозку, особливості їх перебігу : Дис... канд. наук: 14.01.15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03E6" w:rsidRPr="006003E6" w14:paraId="0D92DEAC" w14:textId="77777777" w:rsidTr="006003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03E6" w:rsidRPr="006003E6" w14:paraId="4623714A" w14:textId="77777777">
              <w:trPr>
                <w:tblCellSpacing w:w="0" w:type="dxa"/>
              </w:trPr>
              <w:tc>
                <w:tcPr>
                  <w:tcW w:w="0" w:type="auto"/>
                  <w:vAlign w:val="center"/>
                  <w:hideMark/>
                </w:tcPr>
                <w:p w14:paraId="308D28BF" w14:textId="77777777" w:rsidR="006003E6" w:rsidRPr="006003E6" w:rsidRDefault="006003E6" w:rsidP="006003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3E6">
                    <w:rPr>
                      <w:rFonts w:ascii="Times New Roman" w:eastAsia="Times New Roman" w:hAnsi="Times New Roman" w:cs="Times New Roman"/>
                      <w:b/>
                      <w:bCs/>
                      <w:sz w:val="24"/>
                      <w:szCs w:val="24"/>
                    </w:rPr>
                    <w:lastRenderedPageBreak/>
                    <w:t>Костюковська Г.Є. Структурно-функціональна характеристика лакунарних інфарктів головного мозку, особливості їх перебігу.</w:t>
                  </w:r>
                  <w:r w:rsidRPr="006003E6">
                    <w:rPr>
                      <w:rFonts w:ascii="Times New Roman" w:eastAsia="Times New Roman" w:hAnsi="Times New Roman" w:cs="Times New Roman"/>
                      <w:sz w:val="24"/>
                      <w:szCs w:val="24"/>
                    </w:rPr>
                    <w:t> – Рукопис.</w:t>
                  </w:r>
                </w:p>
                <w:p w14:paraId="3260F53D" w14:textId="77777777" w:rsidR="006003E6" w:rsidRPr="006003E6" w:rsidRDefault="006003E6" w:rsidP="006003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3E6">
                    <w:rPr>
                      <w:rFonts w:ascii="Times New Roman" w:eastAsia="Times New Roman" w:hAnsi="Times New Roman" w:cs="Times New Roman"/>
                      <w:sz w:val="24"/>
                      <w:szCs w:val="24"/>
                    </w:rPr>
                    <w:t>Дисертація на здобуття наукового ступеня кандидата медичних наук за фахом 14.01.15. – нервові хвороби. Інститут неврології, психіатрії та наркології АМН України, Харків, 2007</w:t>
                  </w:r>
                  <w:r w:rsidRPr="006003E6">
                    <w:rPr>
                      <w:rFonts w:ascii="Times New Roman" w:eastAsia="Times New Roman" w:hAnsi="Times New Roman" w:cs="Times New Roman"/>
                      <w:b/>
                      <w:bCs/>
                      <w:sz w:val="24"/>
                      <w:szCs w:val="24"/>
                    </w:rPr>
                    <w:t>.</w:t>
                  </w:r>
                </w:p>
                <w:p w14:paraId="4CACF46F" w14:textId="77777777" w:rsidR="006003E6" w:rsidRPr="006003E6" w:rsidRDefault="006003E6" w:rsidP="006003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3E6">
                    <w:rPr>
                      <w:rFonts w:ascii="Times New Roman" w:eastAsia="Times New Roman" w:hAnsi="Times New Roman" w:cs="Times New Roman"/>
                      <w:sz w:val="24"/>
                      <w:szCs w:val="24"/>
                    </w:rPr>
                    <w:t>Дисертаційна робота присвячена вивченню особливостей клінічного перебігу лакунарних інфарктів головного мозку в залежності від факторів ризику, встановленню залежностей між характером клінічних проявів та локалізацією лакунарного вогнища.</w:t>
                  </w:r>
                </w:p>
                <w:p w14:paraId="222A26E9" w14:textId="77777777" w:rsidR="006003E6" w:rsidRPr="006003E6" w:rsidRDefault="006003E6" w:rsidP="006003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3E6">
                    <w:rPr>
                      <w:rFonts w:ascii="Times New Roman" w:eastAsia="Times New Roman" w:hAnsi="Times New Roman" w:cs="Times New Roman"/>
                      <w:sz w:val="24"/>
                      <w:szCs w:val="24"/>
                    </w:rPr>
                    <w:t>На підставі комплексного клініко-інструментального дослідження 115 хворих встановлені особливості перебігу лакунарних інфарктів головного мозку залежно від їх локалізації та факторів ризику. Установлена частота типових синдромів лакунарного ураження та нетипових синдромів. Виявлені клінічні та нейровізуалізаційні відмінності за наявності або відсутності атеросклеротичного стенозуючого ураження магістральних судин у хворих із лакунарними інфарктами. Визначений характер когнітивних та емоційних порушень у хворих із лакунарними інфарктами. Обґрунтовано схему вторинної профілактики лакунарного інсульту.</w:t>
                  </w:r>
                </w:p>
              </w:tc>
            </w:tr>
          </w:tbl>
          <w:p w14:paraId="58BE0A02" w14:textId="77777777" w:rsidR="006003E6" w:rsidRPr="006003E6" w:rsidRDefault="006003E6" w:rsidP="006003E6">
            <w:pPr>
              <w:spacing w:after="0" w:line="240" w:lineRule="auto"/>
              <w:rPr>
                <w:rFonts w:ascii="Times New Roman" w:eastAsia="Times New Roman" w:hAnsi="Times New Roman" w:cs="Times New Roman"/>
                <w:sz w:val="24"/>
                <w:szCs w:val="24"/>
              </w:rPr>
            </w:pPr>
          </w:p>
        </w:tc>
      </w:tr>
      <w:tr w:rsidR="006003E6" w:rsidRPr="006003E6" w14:paraId="2B7CC21F" w14:textId="77777777" w:rsidTr="006003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03E6" w:rsidRPr="006003E6" w14:paraId="2D0B0DFA" w14:textId="77777777">
              <w:trPr>
                <w:tblCellSpacing w:w="0" w:type="dxa"/>
              </w:trPr>
              <w:tc>
                <w:tcPr>
                  <w:tcW w:w="0" w:type="auto"/>
                  <w:vAlign w:val="center"/>
                  <w:hideMark/>
                </w:tcPr>
                <w:p w14:paraId="56752E32" w14:textId="77777777" w:rsidR="006003E6" w:rsidRPr="006003E6" w:rsidRDefault="006003E6" w:rsidP="006003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3E6">
                    <w:rPr>
                      <w:rFonts w:ascii="Times New Roman" w:eastAsia="Times New Roman" w:hAnsi="Times New Roman" w:cs="Times New Roman"/>
                      <w:sz w:val="24"/>
                      <w:szCs w:val="24"/>
                    </w:rPr>
                    <w:t>1. У дисертації наведено теоретичне узагальнення та запропоновано нове вирішення наукового завдання, яке полягає у встановленні особливостей перебігу ЛІ головного мозку залежно від їх локалізації та факторів ризику, та удосконаленні профілактичних заходів.</w:t>
                  </w:r>
                </w:p>
                <w:p w14:paraId="687A1977" w14:textId="77777777" w:rsidR="006003E6" w:rsidRPr="006003E6" w:rsidRDefault="006003E6" w:rsidP="006003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3E6">
                    <w:rPr>
                      <w:rFonts w:ascii="Times New Roman" w:eastAsia="Times New Roman" w:hAnsi="Times New Roman" w:cs="Times New Roman"/>
                      <w:sz w:val="24"/>
                      <w:szCs w:val="24"/>
                    </w:rPr>
                    <w:t>2. Клінічний перебіг за типом ішемічного інсульту спостерігався у 74,8% хворих, у 25,2% хворих – за типом ТІА. Ішемічний інсульт переважно виявлявся у хворих із АГ важкого ступеня та у хворих із АГ в поєднанні з цукровим діабетом. Встановлено, що локалізація ЛІ у ділянці внутрішньої капсули, зорового горба та варолієва моста завжди є клінічно значущою і маніфестує як ішемічний інсульт. ЛІ, розташовані в базальних гангліях та семіовальному центрі, частіше маніфестуються як ТІА або є клінічно «німими».</w:t>
                  </w:r>
                </w:p>
                <w:p w14:paraId="2F2FDA40" w14:textId="77777777" w:rsidR="006003E6" w:rsidRPr="006003E6" w:rsidRDefault="006003E6" w:rsidP="006003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3E6">
                    <w:rPr>
                      <w:rFonts w:ascii="Times New Roman" w:eastAsia="Times New Roman" w:hAnsi="Times New Roman" w:cs="Times New Roman"/>
                      <w:sz w:val="24"/>
                      <w:szCs w:val="24"/>
                    </w:rPr>
                    <w:t>3. Множинні лакунарні вогнища візуалізувалися значно частіше, ніж поодинокі – у 77,4% хворих із першим епізодом гострого ішемічного порушення мозкового кровообігу. Множинність ураження головного мозку ЛІ вірогідно частіше (p&lt;0,05) розвивалась у хворих із важкою АГ.</w:t>
                  </w:r>
                </w:p>
                <w:p w14:paraId="59D491EE" w14:textId="77777777" w:rsidR="006003E6" w:rsidRPr="006003E6" w:rsidRDefault="006003E6" w:rsidP="006003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3E6">
                    <w:rPr>
                      <w:rFonts w:ascii="Times New Roman" w:eastAsia="Times New Roman" w:hAnsi="Times New Roman" w:cs="Times New Roman"/>
                      <w:sz w:val="24"/>
                      <w:szCs w:val="24"/>
                    </w:rPr>
                    <w:t>4. Типові лакунарні синдроми виявлені тільки у 61,6% хворих з ішемічним інсультом і ЛІ мозку, найбільш частими з яких були синдроми чисто рухового (26,7%) та сенсомоторного (24,4%) інсультів. У 38,4% хворих виявлялись нетипові синдроми. Найбільш тяжкий неврологічний дефіцит спостерігався при синдромі чисто рухового інсульту та локалізації лакунарного вогнища в ділянках внутрішньої капсули та варолієва моста.</w:t>
                  </w:r>
                </w:p>
                <w:p w14:paraId="4AEF38A5" w14:textId="77777777" w:rsidR="006003E6" w:rsidRPr="006003E6" w:rsidRDefault="006003E6" w:rsidP="006003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3E6">
                    <w:rPr>
                      <w:rFonts w:ascii="Times New Roman" w:eastAsia="Times New Roman" w:hAnsi="Times New Roman" w:cs="Times New Roman"/>
                      <w:sz w:val="24"/>
                      <w:szCs w:val="24"/>
                    </w:rPr>
                    <w:t>5. У 36,2% хворих виявлені атеросклеротичні стенозуючі ураження сонних артерій, із них у 14,5% хворих стеноз перевищував 50%. Виявлені вірогідні нейровізуалізаційні відмінності у хворих із ЛІ з ураженням дрібних перфоруючих</w:t>
                  </w:r>
                  <w:r w:rsidRPr="006003E6">
                    <w:rPr>
                      <w:rFonts w:ascii="Times New Roman" w:eastAsia="Times New Roman" w:hAnsi="Times New Roman" w:cs="Times New Roman"/>
                      <w:i/>
                      <w:iCs/>
                      <w:sz w:val="24"/>
                      <w:szCs w:val="24"/>
                    </w:rPr>
                    <w:t> </w:t>
                  </w:r>
                  <w:r w:rsidRPr="006003E6">
                    <w:rPr>
                      <w:rFonts w:ascii="Times New Roman" w:eastAsia="Times New Roman" w:hAnsi="Times New Roman" w:cs="Times New Roman"/>
                      <w:sz w:val="24"/>
                      <w:szCs w:val="24"/>
                    </w:rPr>
                    <w:t>артерій (перша група) та у хворих із поєднаним ураженням дрібних перфоруючих та великих артерій головного мозку (друга група). Першій групі було властиве розширення периваскулярних просторів у ділянці базальних гангліїв (р&lt;0,01). Другій – розширення шлуночкової системи (р&lt;0,04), наявність перивентрикулярного лейкоареозу (p&lt;0,05) та множинні лакунарні вогнища (p&lt;0,003) на боці атеросклеротичного стенозу.</w:t>
                  </w:r>
                </w:p>
                <w:p w14:paraId="565CDBF8" w14:textId="77777777" w:rsidR="006003E6" w:rsidRPr="006003E6" w:rsidRDefault="006003E6" w:rsidP="006003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3E6">
                    <w:rPr>
                      <w:rFonts w:ascii="Times New Roman" w:eastAsia="Times New Roman" w:hAnsi="Times New Roman" w:cs="Times New Roman"/>
                      <w:sz w:val="24"/>
                      <w:szCs w:val="24"/>
                    </w:rPr>
                    <w:lastRenderedPageBreak/>
                    <w:t>6. Зниження пізнавальних функцій у хворих із ЛІ головного мозку та першим гострим порушенням мозкового кровообігу характеризується переважно «м’яким когнітивним дефіцитом» і корелює зі зростанням тривожних та депресивних розладів. Депресивні порушення були вірогідно більш виражені у жінок (р&lt;0,05).</w:t>
                  </w:r>
                </w:p>
                <w:p w14:paraId="436FA49E" w14:textId="77777777" w:rsidR="006003E6" w:rsidRPr="006003E6" w:rsidRDefault="006003E6" w:rsidP="006003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03E6">
                    <w:rPr>
                      <w:rFonts w:ascii="Times New Roman" w:eastAsia="Times New Roman" w:hAnsi="Times New Roman" w:cs="Times New Roman"/>
                      <w:sz w:val="24"/>
                      <w:szCs w:val="24"/>
                    </w:rPr>
                    <w:t>7. На тяжкість</w:t>
                  </w:r>
                  <w:r w:rsidRPr="006003E6">
                    <w:rPr>
                      <w:rFonts w:ascii="Times New Roman" w:eastAsia="Times New Roman" w:hAnsi="Times New Roman" w:cs="Times New Roman"/>
                      <w:i/>
                      <w:iCs/>
                      <w:sz w:val="24"/>
                      <w:szCs w:val="24"/>
                    </w:rPr>
                    <w:t> </w:t>
                  </w:r>
                  <w:r w:rsidRPr="006003E6">
                    <w:rPr>
                      <w:rFonts w:ascii="Times New Roman" w:eastAsia="Times New Roman" w:hAnsi="Times New Roman" w:cs="Times New Roman"/>
                      <w:sz w:val="24"/>
                      <w:szCs w:val="24"/>
                    </w:rPr>
                    <w:t>клінічних проявів ЛІ впливає локалізація лакунарного вогнища, ступень АГ, наявність та вираженість атеросклеротичного стенозуючого ураження великих артерій мозку. Наявність гемодінамічно значущого стенозу завжди пов’язана з ішемічним інсультом. Виявлення різних факторів ризику виникнення інсульту у хворих із ЛІ головного мозку дозволило розробити диференційовану схему вторинної профілактики лакунарного інсульту та ТІА.</w:t>
                  </w:r>
                </w:p>
              </w:tc>
            </w:tr>
          </w:tbl>
          <w:p w14:paraId="1C23FBBA" w14:textId="77777777" w:rsidR="006003E6" w:rsidRPr="006003E6" w:rsidRDefault="006003E6" w:rsidP="006003E6">
            <w:pPr>
              <w:spacing w:after="0" w:line="240" w:lineRule="auto"/>
              <w:rPr>
                <w:rFonts w:ascii="Times New Roman" w:eastAsia="Times New Roman" w:hAnsi="Times New Roman" w:cs="Times New Roman"/>
                <w:sz w:val="24"/>
                <w:szCs w:val="24"/>
              </w:rPr>
            </w:pPr>
          </w:p>
        </w:tc>
      </w:tr>
    </w:tbl>
    <w:p w14:paraId="4563F194" w14:textId="77777777" w:rsidR="006003E6" w:rsidRPr="006003E6" w:rsidRDefault="006003E6" w:rsidP="006003E6"/>
    <w:sectPr w:rsidR="006003E6" w:rsidRPr="006003E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D5A9" w14:textId="77777777" w:rsidR="000D4A21" w:rsidRDefault="000D4A21">
      <w:pPr>
        <w:spacing w:after="0" w:line="240" w:lineRule="auto"/>
      </w:pPr>
      <w:r>
        <w:separator/>
      </w:r>
    </w:p>
  </w:endnote>
  <w:endnote w:type="continuationSeparator" w:id="0">
    <w:p w14:paraId="455CED6B" w14:textId="77777777" w:rsidR="000D4A21" w:rsidRDefault="000D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FAC17" w14:textId="77777777" w:rsidR="000D4A21" w:rsidRDefault="000D4A21">
      <w:pPr>
        <w:spacing w:after="0" w:line="240" w:lineRule="auto"/>
      </w:pPr>
      <w:r>
        <w:separator/>
      </w:r>
    </w:p>
  </w:footnote>
  <w:footnote w:type="continuationSeparator" w:id="0">
    <w:p w14:paraId="4F9D9E94" w14:textId="77777777" w:rsidR="000D4A21" w:rsidRDefault="000D4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4A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0B0"/>
    <w:multiLevelType w:val="multilevel"/>
    <w:tmpl w:val="28209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E7925"/>
    <w:multiLevelType w:val="multilevel"/>
    <w:tmpl w:val="CAE6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C67F2"/>
    <w:multiLevelType w:val="multilevel"/>
    <w:tmpl w:val="1E5C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AF5B6D"/>
    <w:multiLevelType w:val="multilevel"/>
    <w:tmpl w:val="7E0AC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373CAC"/>
    <w:multiLevelType w:val="multilevel"/>
    <w:tmpl w:val="9CE0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32765E"/>
    <w:multiLevelType w:val="multilevel"/>
    <w:tmpl w:val="65C4A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7F4168"/>
    <w:multiLevelType w:val="multilevel"/>
    <w:tmpl w:val="EBAC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0E0A84"/>
    <w:multiLevelType w:val="multilevel"/>
    <w:tmpl w:val="10CC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9F17FC"/>
    <w:multiLevelType w:val="multilevel"/>
    <w:tmpl w:val="AA68DA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3B7A5D"/>
    <w:multiLevelType w:val="multilevel"/>
    <w:tmpl w:val="43AA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8433F8"/>
    <w:multiLevelType w:val="multilevel"/>
    <w:tmpl w:val="BA6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D30A19"/>
    <w:multiLevelType w:val="multilevel"/>
    <w:tmpl w:val="08FCF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C360D2"/>
    <w:multiLevelType w:val="multilevel"/>
    <w:tmpl w:val="6628A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102432"/>
    <w:multiLevelType w:val="multilevel"/>
    <w:tmpl w:val="B206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130F39"/>
    <w:multiLevelType w:val="multilevel"/>
    <w:tmpl w:val="403EDF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3"/>
  </w:num>
  <w:num w:numId="3">
    <w:abstractNumId w:val="10"/>
  </w:num>
  <w:num w:numId="4">
    <w:abstractNumId w:val="6"/>
  </w:num>
  <w:num w:numId="5">
    <w:abstractNumId w:val="8"/>
  </w:num>
  <w:num w:numId="6">
    <w:abstractNumId w:val="9"/>
  </w:num>
  <w:num w:numId="7">
    <w:abstractNumId w:val="4"/>
  </w:num>
  <w:num w:numId="8">
    <w:abstractNumId w:val="14"/>
  </w:num>
  <w:num w:numId="9">
    <w:abstractNumId w:val="0"/>
  </w:num>
  <w:num w:numId="10">
    <w:abstractNumId w:val="2"/>
  </w:num>
  <w:num w:numId="11">
    <w:abstractNumId w:val="5"/>
  </w:num>
  <w:num w:numId="12">
    <w:abstractNumId w:val="1"/>
  </w:num>
  <w:num w:numId="13">
    <w:abstractNumId w:val="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A2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126069</TotalTime>
  <Pages>3</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5253</cp:revision>
  <dcterms:created xsi:type="dcterms:W3CDTF">2024-06-20T08:51:00Z</dcterms:created>
  <dcterms:modified xsi:type="dcterms:W3CDTF">2025-01-23T11:12:00Z</dcterms:modified>
  <cp:category/>
</cp:coreProperties>
</file>