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3D2EE" w14:textId="77777777" w:rsidR="0096529C" w:rsidRPr="0096529C" w:rsidRDefault="0096529C" w:rsidP="0096529C">
      <w:pPr>
        <w:rPr>
          <w:rFonts w:ascii="Helvetica" w:eastAsia="Symbol" w:hAnsi="Helvetica" w:cs="Helvetica"/>
          <w:b/>
          <w:bCs/>
          <w:color w:val="222222"/>
          <w:kern w:val="0"/>
          <w:sz w:val="21"/>
          <w:szCs w:val="21"/>
          <w:lang w:eastAsia="ru-RU"/>
        </w:rPr>
      </w:pPr>
      <w:proofErr w:type="spellStart"/>
      <w:r w:rsidRPr="0096529C">
        <w:rPr>
          <w:rFonts w:ascii="Helvetica" w:eastAsia="Symbol" w:hAnsi="Helvetica" w:cs="Helvetica"/>
          <w:b/>
          <w:bCs/>
          <w:color w:val="222222"/>
          <w:kern w:val="0"/>
          <w:sz w:val="21"/>
          <w:szCs w:val="21"/>
          <w:lang w:eastAsia="ru-RU"/>
        </w:rPr>
        <w:t>Багрянский</w:t>
      </w:r>
      <w:proofErr w:type="spellEnd"/>
      <w:r w:rsidRPr="0096529C">
        <w:rPr>
          <w:rFonts w:ascii="Helvetica" w:eastAsia="Symbol" w:hAnsi="Helvetica" w:cs="Helvetica"/>
          <w:b/>
          <w:bCs/>
          <w:color w:val="222222"/>
          <w:kern w:val="0"/>
          <w:sz w:val="21"/>
          <w:szCs w:val="21"/>
          <w:lang w:eastAsia="ru-RU"/>
        </w:rPr>
        <w:t>, Петр Андреевич.</w:t>
      </w:r>
    </w:p>
    <w:p w14:paraId="6B6FFF13"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 xml:space="preserve">Удержание двухкомпонентной плазмы с высоким β в газодинамической </w:t>
      </w:r>
      <w:proofErr w:type="gramStart"/>
      <w:r w:rsidRPr="0096529C">
        <w:rPr>
          <w:rFonts w:ascii="Helvetica" w:eastAsia="Symbol" w:hAnsi="Helvetica" w:cs="Helvetica"/>
          <w:b/>
          <w:bCs/>
          <w:color w:val="222222"/>
          <w:kern w:val="0"/>
          <w:sz w:val="21"/>
          <w:szCs w:val="21"/>
          <w:lang w:eastAsia="ru-RU"/>
        </w:rPr>
        <w:t>ловушке :</w:t>
      </w:r>
      <w:proofErr w:type="gramEnd"/>
      <w:r w:rsidRPr="0096529C">
        <w:rPr>
          <w:rFonts w:ascii="Helvetica" w:eastAsia="Symbol" w:hAnsi="Helvetica" w:cs="Helvetica"/>
          <w:b/>
          <w:bCs/>
          <w:color w:val="222222"/>
          <w:kern w:val="0"/>
          <w:sz w:val="21"/>
          <w:szCs w:val="21"/>
          <w:lang w:eastAsia="ru-RU"/>
        </w:rPr>
        <w:t xml:space="preserve"> диссертация ... доктора физико-математических наук : 01.04.08. - Новосибирск, 2000. - 178 </w:t>
      </w:r>
      <w:proofErr w:type="gramStart"/>
      <w:r w:rsidRPr="0096529C">
        <w:rPr>
          <w:rFonts w:ascii="Helvetica" w:eastAsia="Symbol" w:hAnsi="Helvetica" w:cs="Helvetica"/>
          <w:b/>
          <w:bCs/>
          <w:color w:val="222222"/>
          <w:kern w:val="0"/>
          <w:sz w:val="21"/>
          <w:szCs w:val="21"/>
          <w:lang w:eastAsia="ru-RU"/>
        </w:rPr>
        <w:t>с. :</w:t>
      </w:r>
      <w:proofErr w:type="gramEnd"/>
      <w:r w:rsidRPr="0096529C">
        <w:rPr>
          <w:rFonts w:ascii="Helvetica" w:eastAsia="Symbol" w:hAnsi="Helvetica" w:cs="Helvetica"/>
          <w:b/>
          <w:bCs/>
          <w:color w:val="222222"/>
          <w:kern w:val="0"/>
          <w:sz w:val="21"/>
          <w:szCs w:val="21"/>
          <w:lang w:eastAsia="ru-RU"/>
        </w:rPr>
        <w:t xml:space="preserve"> ил.</w:t>
      </w:r>
    </w:p>
    <w:p w14:paraId="42997D9A"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 xml:space="preserve">Оглавление </w:t>
      </w:r>
      <w:proofErr w:type="spellStart"/>
      <w:r w:rsidRPr="0096529C">
        <w:rPr>
          <w:rFonts w:ascii="Helvetica" w:eastAsia="Symbol" w:hAnsi="Helvetica" w:cs="Helvetica"/>
          <w:b/>
          <w:bCs/>
          <w:color w:val="222222"/>
          <w:kern w:val="0"/>
          <w:sz w:val="21"/>
          <w:szCs w:val="21"/>
          <w:lang w:eastAsia="ru-RU"/>
        </w:rPr>
        <w:t>диссертациидоктор</w:t>
      </w:r>
      <w:proofErr w:type="spellEnd"/>
      <w:r w:rsidRPr="0096529C">
        <w:rPr>
          <w:rFonts w:ascii="Helvetica" w:eastAsia="Symbol" w:hAnsi="Helvetica" w:cs="Helvetica"/>
          <w:b/>
          <w:bCs/>
          <w:color w:val="222222"/>
          <w:kern w:val="0"/>
          <w:sz w:val="21"/>
          <w:szCs w:val="21"/>
          <w:lang w:eastAsia="ru-RU"/>
        </w:rPr>
        <w:t xml:space="preserve"> физико-математических наук </w:t>
      </w:r>
      <w:proofErr w:type="spellStart"/>
      <w:r w:rsidRPr="0096529C">
        <w:rPr>
          <w:rFonts w:ascii="Helvetica" w:eastAsia="Symbol" w:hAnsi="Helvetica" w:cs="Helvetica"/>
          <w:b/>
          <w:bCs/>
          <w:color w:val="222222"/>
          <w:kern w:val="0"/>
          <w:sz w:val="21"/>
          <w:szCs w:val="21"/>
          <w:lang w:eastAsia="ru-RU"/>
        </w:rPr>
        <w:t>Багрянский</w:t>
      </w:r>
      <w:proofErr w:type="spellEnd"/>
      <w:r w:rsidRPr="0096529C">
        <w:rPr>
          <w:rFonts w:ascii="Helvetica" w:eastAsia="Symbol" w:hAnsi="Helvetica" w:cs="Helvetica"/>
          <w:b/>
          <w:bCs/>
          <w:color w:val="222222"/>
          <w:kern w:val="0"/>
          <w:sz w:val="21"/>
          <w:szCs w:val="21"/>
          <w:lang w:eastAsia="ru-RU"/>
        </w:rPr>
        <w:t>, Петр Андреевич</w:t>
      </w:r>
    </w:p>
    <w:p w14:paraId="157466F9"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Введение</w:t>
      </w:r>
    </w:p>
    <w:p w14:paraId="2D9F12C2"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1 Установка ГДЛ и результаты ее модернизации</w:t>
      </w:r>
    </w:p>
    <w:p w14:paraId="4A9F6E13"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1.1 Краткое описание установки и типичного «сценария» эксперимента</w:t>
      </w:r>
    </w:p>
    <w:p w14:paraId="614EA152"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1.2 Магнитная система.</w:t>
      </w:r>
    </w:p>
    <w:p w14:paraId="208FBF80"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1.3 Вакуумная система.</w:t>
      </w:r>
    </w:p>
    <w:p w14:paraId="45B25CE1"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1.4 Система атомарной инжекции.</w:t>
      </w:r>
    </w:p>
    <w:p w14:paraId="66A1F33C"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1.5 Система автоматизации управления и сбора данных.</w:t>
      </w:r>
    </w:p>
    <w:p w14:paraId="6DFD3A48"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1.6 Диагностики.</w:t>
      </w:r>
    </w:p>
    <w:p w14:paraId="26B1D52B"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2 Продольное удержание частиц и энергии в газодинамической ловушке</w:t>
      </w:r>
    </w:p>
    <w:p w14:paraId="0F4B9396"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2.1 Описание эксперимента и диагностик.</w:t>
      </w:r>
    </w:p>
    <w:p w14:paraId="6169A779"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2.2 Результаты эксперимента.</w:t>
      </w:r>
    </w:p>
    <w:p w14:paraId="2D4ABFD3"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2.3 Обсуждение результатов.</w:t>
      </w:r>
    </w:p>
    <w:p w14:paraId="27ADC697"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3 Влияние свойств первой стенки на перенос нейтральных частиц</w:t>
      </w:r>
    </w:p>
    <w:p w14:paraId="50A84687"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3.1 Вакуумная система (подробное описание)</w:t>
      </w:r>
    </w:p>
    <w:p w14:paraId="62A6814F"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Первая стенка</w:t>
      </w:r>
    </w:p>
    <w:p w14:paraId="28BB8C7E"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Электродуговые испарители титана.</w:t>
      </w:r>
    </w:p>
    <w:p w14:paraId="3E097A9E"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Подготовка первой стенки и создание вакуумных условий.</w:t>
      </w:r>
    </w:p>
    <w:p w14:paraId="0CB1C5C2"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Система контроля вакуумных условий и основные диагностики</w:t>
      </w:r>
    </w:p>
    <w:p w14:paraId="1AFC6C76"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3.2 Код для моделирования динамики нейтрального газа.</w:t>
      </w:r>
    </w:p>
    <w:p w14:paraId="60D99B32"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Краткое описание кода.</w:t>
      </w:r>
    </w:p>
    <w:p w14:paraId="1723AD13"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Результаты расчетов при помощи кода TUBE.</w:t>
      </w:r>
    </w:p>
    <w:p w14:paraId="4EB3788F"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3.3 Сравнение результатов измерений и расчетов.</w:t>
      </w:r>
    </w:p>
    <w:p w14:paraId="5624EACD"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4 Исследование релаксации и удержания быстрых ионов</w:t>
      </w:r>
    </w:p>
    <w:p w14:paraId="6150A70B"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4.1 Изучение кинетики торможения и углового рассеяния быстрых ионов</w:t>
      </w:r>
    </w:p>
    <w:p w14:paraId="6E253266"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Описание эксперимента и типичных параметров плазмы.</w:t>
      </w:r>
    </w:p>
    <w:p w14:paraId="240B785B"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Диагностики.</w:t>
      </w:r>
    </w:p>
    <w:p w14:paraId="6714F3ED"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lastRenderedPageBreak/>
        <w:t>Расчеты параметров популяции быстрых ионов.</w:t>
      </w:r>
    </w:p>
    <w:p w14:paraId="29DEC622"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Результаты исследований удержания быстрых ионов.</w:t>
      </w:r>
    </w:p>
    <w:p w14:paraId="6263C391"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4.2 Измерения пространственных распределений интенсивности термоядерных реакций при инжекции дейтериевых пучков.</w:t>
      </w:r>
    </w:p>
    <w:p w14:paraId="28527AE0"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Счетчик продуктов D-D реакции.</w:t>
      </w:r>
    </w:p>
    <w:p w14:paraId="7F40BE1C"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Измерения и их результаты</w:t>
      </w:r>
    </w:p>
    <w:p w14:paraId="71CA3719"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5 Энергетический и материальный баланс двухкомпонентной плазмы</w:t>
      </w:r>
    </w:p>
    <w:p w14:paraId="75B0AEE4"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5.1 Изучение баланса энергии двухкомпонентной плазмы в режимах с высоким значением /3.</w:t>
      </w:r>
    </w:p>
    <w:p w14:paraId="163267ED"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Методика анализа энергобаланса и использованные диагностики</w:t>
      </w:r>
    </w:p>
    <w:p w14:paraId="26C9B5C2"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Удержание двухкомпонентной плазмы</w:t>
      </w:r>
    </w:p>
    <w:p w14:paraId="234E91F8"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5.2 Эксперименты по поддержанию баланса частиц мишенной плазмы</w:t>
      </w:r>
    </w:p>
    <w:p w14:paraId="18429D4E"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Опыты с газовой коробкой и периферийной инжекцией газа.</w:t>
      </w:r>
    </w:p>
    <w:p w14:paraId="4E997461"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 xml:space="preserve">Опыты с приосевым </w:t>
      </w:r>
      <w:proofErr w:type="spellStart"/>
      <w:r w:rsidRPr="0096529C">
        <w:rPr>
          <w:rFonts w:ascii="Helvetica" w:eastAsia="Symbol" w:hAnsi="Helvetica" w:cs="Helvetica"/>
          <w:b/>
          <w:bCs/>
          <w:color w:val="222222"/>
          <w:kern w:val="0"/>
          <w:sz w:val="21"/>
          <w:szCs w:val="21"/>
          <w:lang w:eastAsia="ru-RU"/>
        </w:rPr>
        <w:t>поддувом</w:t>
      </w:r>
      <w:proofErr w:type="spellEnd"/>
      <w:r w:rsidRPr="0096529C">
        <w:rPr>
          <w:rFonts w:ascii="Helvetica" w:eastAsia="Symbol" w:hAnsi="Helvetica" w:cs="Helvetica"/>
          <w:b/>
          <w:bCs/>
          <w:color w:val="222222"/>
          <w:kern w:val="0"/>
          <w:sz w:val="21"/>
          <w:szCs w:val="21"/>
          <w:lang w:eastAsia="ru-RU"/>
        </w:rPr>
        <w:t>.</w:t>
      </w:r>
    </w:p>
    <w:p w14:paraId="70128C2B"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6 МГД - устойчивость двухкомпонентной плазмы высокого давления</w:t>
      </w:r>
    </w:p>
    <w:p w14:paraId="12985325"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6.1 Предварительные замечания.</w:t>
      </w:r>
    </w:p>
    <w:p w14:paraId="78BA804A"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6.2 Результаты изучения МГД-устойчивости.</w:t>
      </w:r>
    </w:p>
    <w:p w14:paraId="25D88C86" w14:textId="77777777" w:rsidR="0096529C" w:rsidRPr="0096529C" w:rsidRDefault="0096529C" w:rsidP="0096529C">
      <w:pPr>
        <w:rPr>
          <w:rFonts w:ascii="Helvetica" w:eastAsia="Symbol" w:hAnsi="Helvetica" w:cs="Helvetica"/>
          <w:b/>
          <w:bCs/>
          <w:color w:val="222222"/>
          <w:kern w:val="0"/>
          <w:sz w:val="21"/>
          <w:szCs w:val="21"/>
          <w:lang w:eastAsia="ru-RU"/>
        </w:rPr>
      </w:pPr>
      <w:r w:rsidRPr="0096529C">
        <w:rPr>
          <w:rFonts w:ascii="Helvetica" w:eastAsia="Symbol" w:hAnsi="Helvetica" w:cs="Helvetica"/>
          <w:b/>
          <w:bCs/>
          <w:color w:val="222222"/>
          <w:kern w:val="0"/>
          <w:sz w:val="21"/>
          <w:szCs w:val="21"/>
          <w:lang w:eastAsia="ru-RU"/>
        </w:rPr>
        <w:t>6.3 Анализ результатов.</w:t>
      </w:r>
    </w:p>
    <w:p w14:paraId="3869883D" w14:textId="044F837C" w:rsidR="00F11235" w:rsidRPr="0096529C" w:rsidRDefault="00F11235" w:rsidP="0096529C"/>
    <w:sectPr w:rsidR="00F11235" w:rsidRPr="0096529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6BF13" w14:textId="77777777" w:rsidR="005A2CE3" w:rsidRDefault="005A2CE3">
      <w:pPr>
        <w:spacing w:after="0" w:line="240" w:lineRule="auto"/>
      </w:pPr>
      <w:r>
        <w:separator/>
      </w:r>
    </w:p>
  </w:endnote>
  <w:endnote w:type="continuationSeparator" w:id="0">
    <w:p w14:paraId="2A5BA338" w14:textId="77777777" w:rsidR="005A2CE3" w:rsidRDefault="005A2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E4E37" w14:textId="77777777" w:rsidR="005A2CE3" w:rsidRDefault="005A2CE3"/>
    <w:p w14:paraId="13AB7BAF" w14:textId="77777777" w:rsidR="005A2CE3" w:rsidRDefault="005A2CE3"/>
    <w:p w14:paraId="34B4AB09" w14:textId="77777777" w:rsidR="005A2CE3" w:rsidRDefault="005A2CE3"/>
    <w:p w14:paraId="12125688" w14:textId="77777777" w:rsidR="005A2CE3" w:rsidRDefault="005A2CE3"/>
    <w:p w14:paraId="648E6636" w14:textId="77777777" w:rsidR="005A2CE3" w:rsidRDefault="005A2CE3"/>
    <w:p w14:paraId="45F41868" w14:textId="77777777" w:rsidR="005A2CE3" w:rsidRDefault="005A2CE3"/>
    <w:p w14:paraId="4059321C" w14:textId="77777777" w:rsidR="005A2CE3" w:rsidRDefault="005A2CE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9F831D" wp14:editId="7775E7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4E8F6" w14:textId="77777777" w:rsidR="005A2CE3" w:rsidRDefault="005A2C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9F831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E4E8F6" w14:textId="77777777" w:rsidR="005A2CE3" w:rsidRDefault="005A2C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E43E54" w14:textId="77777777" w:rsidR="005A2CE3" w:rsidRDefault="005A2CE3"/>
    <w:p w14:paraId="2737F469" w14:textId="77777777" w:rsidR="005A2CE3" w:rsidRDefault="005A2CE3"/>
    <w:p w14:paraId="28A81618" w14:textId="77777777" w:rsidR="005A2CE3" w:rsidRDefault="005A2CE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5004DC" wp14:editId="75D72C9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F0598" w14:textId="77777777" w:rsidR="005A2CE3" w:rsidRDefault="005A2CE3"/>
                          <w:p w14:paraId="39267727" w14:textId="77777777" w:rsidR="005A2CE3" w:rsidRDefault="005A2C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5004D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1F0598" w14:textId="77777777" w:rsidR="005A2CE3" w:rsidRDefault="005A2CE3"/>
                    <w:p w14:paraId="39267727" w14:textId="77777777" w:rsidR="005A2CE3" w:rsidRDefault="005A2C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64682A" w14:textId="77777777" w:rsidR="005A2CE3" w:rsidRDefault="005A2CE3"/>
    <w:p w14:paraId="4DFCFE1B" w14:textId="77777777" w:rsidR="005A2CE3" w:rsidRDefault="005A2CE3">
      <w:pPr>
        <w:rPr>
          <w:sz w:val="2"/>
          <w:szCs w:val="2"/>
        </w:rPr>
      </w:pPr>
    </w:p>
    <w:p w14:paraId="7DAD2C65" w14:textId="77777777" w:rsidR="005A2CE3" w:rsidRDefault="005A2CE3"/>
    <w:p w14:paraId="778D0FAE" w14:textId="77777777" w:rsidR="005A2CE3" w:rsidRDefault="005A2CE3">
      <w:pPr>
        <w:spacing w:after="0" w:line="240" w:lineRule="auto"/>
      </w:pPr>
    </w:p>
  </w:footnote>
  <w:footnote w:type="continuationSeparator" w:id="0">
    <w:p w14:paraId="696D5A41" w14:textId="77777777" w:rsidR="005A2CE3" w:rsidRDefault="005A2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CE3"/>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168853</TotalTime>
  <Pages>2</Pages>
  <Words>321</Words>
  <Characters>1830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5336</cp:revision>
  <cp:lastPrinted>2009-02-06T05:36:00Z</cp:lastPrinted>
  <dcterms:created xsi:type="dcterms:W3CDTF">2024-01-07T13:43:00Z</dcterms:created>
  <dcterms:modified xsi:type="dcterms:W3CDTF">2025-09-24T11:28:00Z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