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E561" w14:textId="77777777" w:rsidR="00AF73F3" w:rsidRDefault="00AF73F3" w:rsidP="00AF73F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Такабаев, Казис Кампаевич.</w:t>
      </w:r>
      <w:r>
        <w:rPr>
          <w:rFonts w:ascii="Helvetica" w:hAnsi="Helvetica" w:cs="Helvetica"/>
          <w:color w:val="222222"/>
          <w:sz w:val="21"/>
          <w:szCs w:val="21"/>
        </w:rPr>
        <w:br/>
      </w:r>
      <w:r>
        <w:rPr>
          <w:rStyle w:val="js-item-maininfo"/>
          <w:rFonts w:ascii="Helvetica" w:hAnsi="Helvetica" w:cs="Helvetica"/>
          <w:b/>
          <w:bCs/>
          <w:color w:val="222222"/>
          <w:sz w:val="21"/>
          <w:szCs w:val="21"/>
        </w:rPr>
        <w:t>Численное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горных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пород</w:t>
      </w:r>
      <w:r>
        <w:rPr>
          <w:rStyle w:val="js-item-maininfo"/>
          <w:rFonts w:ascii="Helvetica" w:hAnsi="Helvetica" w:cs="Helvetica"/>
          <w:color w:val="222222"/>
          <w:sz w:val="21"/>
          <w:szCs w:val="21"/>
        </w:rPr>
        <w:t> : диссертация ... кандидата физико-математических наук : 01.02.04. - Алма-Ата, 1984. - 222 с. : ил.</w:t>
      </w:r>
      <w:r>
        <w:rPr>
          <w:rStyle w:val="search-descr"/>
          <w:rFonts w:ascii="Helvetica" w:hAnsi="Helvetica" w:cs="Helvetica"/>
          <w:color w:val="222222"/>
          <w:sz w:val="21"/>
          <w:szCs w:val="21"/>
        </w:rPr>
        <w:t>больше</w:t>
      </w:r>
    </w:p>
    <w:p w14:paraId="428471E9" w14:textId="77777777" w:rsidR="00AF73F3" w:rsidRDefault="00AF73F3" w:rsidP="00AF73F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E12CFE8" w14:textId="77777777" w:rsidR="00AF73F3" w:rsidRDefault="00AF73F3" w:rsidP="003E3BA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2BEF66F" w14:textId="77777777" w:rsidR="00AF73F3" w:rsidRDefault="00AF73F3" w:rsidP="00AF73F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МАТЕМАТИКИ И </w:t>
      </w:r>
      <w:r>
        <w:rPr>
          <w:rFonts w:ascii="Helvetica" w:hAnsi="Helvetica" w:cs="Helvetica"/>
          <w:b/>
          <w:bCs/>
          <w:color w:val="222222"/>
          <w:sz w:val="21"/>
          <w:szCs w:val="21"/>
        </w:rPr>
        <w:t>МЕХАНИКИ</w:t>
      </w:r>
      <w:r>
        <w:rPr>
          <w:rFonts w:ascii="Helvetica" w:hAnsi="Helvetica" w:cs="Helvetica"/>
          <w:color w:val="222222"/>
          <w:sz w:val="21"/>
          <w:szCs w:val="21"/>
        </w:rPr>
        <w:t> АКАДЕМИИ НАУК КАЗССР \ / Ш^У\ '^ У </w:t>
      </w:r>
      <w:r>
        <w:rPr>
          <w:rFonts w:ascii="Helvetica" w:hAnsi="Helvetica" w:cs="Helvetica"/>
          <w:b/>
          <w:bCs/>
          <w:color w:val="222222"/>
          <w:sz w:val="21"/>
          <w:szCs w:val="21"/>
        </w:rPr>
        <w:t>ТАКАБАЕВ</w:t>
      </w:r>
      <w:r>
        <w:rPr>
          <w:rFonts w:ascii="Helvetica" w:hAnsi="Helvetica" w:cs="Helvetica"/>
          <w:color w:val="222222"/>
          <w:sz w:val="21"/>
          <w:szCs w:val="21"/>
        </w:rPr>
        <w:t> </w:t>
      </w:r>
      <w:r>
        <w:rPr>
          <w:rFonts w:ascii="Helvetica" w:hAnsi="Helvetica" w:cs="Helvetica"/>
          <w:b/>
          <w:bCs/>
          <w:color w:val="222222"/>
          <w:sz w:val="21"/>
          <w:szCs w:val="21"/>
        </w:rPr>
        <w:t>Казис</w:t>
      </w:r>
      <w:r>
        <w:rPr>
          <w:rFonts w:ascii="Helvetica" w:hAnsi="Helvetica" w:cs="Helvetica"/>
          <w:color w:val="222222"/>
          <w:sz w:val="21"/>
          <w:szCs w:val="21"/>
        </w:rPr>
        <w:t> Кошаевжч УДК 622.011.4;622.023 </w:t>
      </w:r>
      <w:r>
        <w:rPr>
          <w:rFonts w:ascii="Helvetica" w:hAnsi="Helvetica" w:cs="Helvetica"/>
          <w:b/>
          <w:bCs/>
          <w:color w:val="222222"/>
          <w:sz w:val="21"/>
          <w:szCs w:val="21"/>
        </w:rPr>
        <w:t>ЧИСЛЕННОЕ</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МЕХАНИКИ</w:t>
      </w:r>
      <w:r>
        <w:rPr>
          <w:rFonts w:ascii="Helvetica" w:hAnsi="Helvetica" w:cs="Helvetica"/>
          <w:color w:val="222222"/>
          <w:sz w:val="21"/>
          <w:szCs w:val="21"/>
        </w:rPr>
        <w:t>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На правах рукописи 01.02.04 - Шханика дефорглируемого твердого тела ДИССЕРТАЦИЯ на соискание ученой степени кандидата физико-математических</w:t>
      </w:r>
    </w:p>
    <w:p w14:paraId="5300E39A" w14:textId="77777777" w:rsidR="00AF73F3" w:rsidRDefault="00AF73F3" w:rsidP="003E3BA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4287EA2" w14:textId="77777777" w:rsidR="00AF73F3" w:rsidRDefault="00AF73F3" w:rsidP="00AF73F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напряженно-деформированного состояния массива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трапециодального профиля Выводы ГЛАВА П. ВЛИЯНИЕ ВРЕМЕНИ НА НАПРЯЖЕННО-ДЕФОРМИРОВАННОЕ СОСТОЯНИЕ М С И А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АСВ § 2 . 1 . Теоретические основы учета ползучести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 2.2. Экспериментальные сведения о реологических свойствах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 2 , 3</w:t>
      </w:r>
    </w:p>
    <w:p w14:paraId="008EF814" w14:textId="77777777" w:rsidR="00AF73F3" w:rsidRDefault="00AF73F3" w:rsidP="003E3BA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181</w:t>
      </w:r>
    </w:p>
    <w:p w14:paraId="07CFC7F9" w14:textId="77777777" w:rsidR="00AF73F3" w:rsidRDefault="00AF73F3" w:rsidP="00AF73F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механики</w:t>
      </w:r>
      <w:r>
        <w:rPr>
          <w:rFonts w:ascii="Helvetica" w:hAnsi="Helvetica" w:cs="Helvetica"/>
          <w:color w:val="222222"/>
          <w:sz w:val="21"/>
          <w:szCs w:val="21"/>
        </w:rPr>
        <w:t> разрушения. Тем не менее определе</w:t>
      </w:r>
      <w:r>
        <w:rPr>
          <w:rFonts w:ascii="Helvetica" w:hAnsi="Helvetica" w:cs="Helvetica"/>
          <w:color w:val="222222"/>
          <w:sz w:val="21"/>
          <w:szCs w:val="21"/>
        </w:rPr>
        <w:softHyphen/>
        <w:t xml:space="preserve"> ние упругих параметров и характеристик прочности представляет собой математическую </w:t>
      </w:r>
      <w:r>
        <w:rPr>
          <w:rFonts w:ascii="Helvetica" w:hAnsi="Helvetica" w:cs="Helvetica"/>
          <w:b/>
          <w:bCs/>
          <w:color w:val="222222"/>
          <w:sz w:val="21"/>
          <w:szCs w:val="21"/>
        </w:rPr>
        <w:t>задачу</w:t>
      </w:r>
      <w:r>
        <w:rPr>
          <w:rFonts w:ascii="Helvetica" w:hAnsi="Helvetica" w:cs="Helvetica"/>
          <w:color w:val="222222"/>
          <w:sz w:val="21"/>
          <w:szCs w:val="21"/>
        </w:rPr>
        <w:t>. Для </w:t>
      </w:r>
      <w:r>
        <w:rPr>
          <w:rFonts w:ascii="Helvetica" w:hAnsi="Helvetica" w:cs="Helvetica"/>
          <w:b/>
          <w:bCs/>
          <w:color w:val="222222"/>
          <w:sz w:val="21"/>
          <w:szCs w:val="21"/>
        </w:rPr>
        <w:t>задач</w:t>
      </w:r>
      <w:r>
        <w:rPr>
          <w:rFonts w:ascii="Helvetica" w:hAnsi="Helvetica" w:cs="Helvetica"/>
          <w:color w:val="222222"/>
          <w:sz w:val="21"/>
          <w:szCs w:val="21"/>
        </w:rPr>
        <w:t> со сложными граничными условиями обычно применяют </w:t>
      </w:r>
      <w:r>
        <w:rPr>
          <w:rFonts w:ascii="Helvetica" w:hAnsi="Helvetica" w:cs="Helvetica"/>
          <w:b/>
          <w:bCs/>
          <w:color w:val="222222"/>
          <w:sz w:val="21"/>
          <w:szCs w:val="21"/>
        </w:rPr>
        <w:t>численные</w:t>
      </w:r>
      <w:r>
        <w:rPr>
          <w:rFonts w:ascii="Helvetica" w:hAnsi="Helvetica" w:cs="Helvetica"/>
          <w:color w:val="222222"/>
          <w:sz w:val="21"/>
          <w:szCs w:val="21"/>
        </w:rPr>
        <w:t> методы. Среди </w:t>
      </w:r>
      <w:r>
        <w:rPr>
          <w:rFonts w:ascii="Helvetica" w:hAnsi="Helvetica" w:cs="Helvetica"/>
          <w:b/>
          <w:bCs/>
          <w:color w:val="222222"/>
          <w:sz w:val="21"/>
          <w:szCs w:val="21"/>
        </w:rPr>
        <w:t>численных</w:t>
      </w:r>
      <w:r>
        <w:rPr>
          <w:rFonts w:ascii="Helvetica" w:hAnsi="Helvetica" w:cs="Helvetica"/>
          <w:color w:val="222222"/>
          <w:sz w:val="21"/>
          <w:szCs w:val="21"/>
        </w:rPr>
        <w:t> методов </w:t>
      </w:r>
      <w:r>
        <w:rPr>
          <w:rFonts w:ascii="Helvetica" w:hAnsi="Helvetica" w:cs="Helvetica"/>
          <w:b/>
          <w:bCs/>
          <w:color w:val="222222"/>
          <w:sz w:val="21"/>
          <w:szCs w:val="21"/>
        </w:rPr>
        <w:t>решения</w:t>
      </w:r>
      <w:r>
        <w:rPr>
          <w:rFonts w:ascii="Helvetica" w:hAnsi="Helvetica" w:cs="Helvetica"/>
          <w:color w:val="222222"/>
          <w:sz w:val="21"/>
          <w:szCs w:val="21"/>
        </w:rPr>
        <w:t> линейных и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наибольшее распространение получил</w:t>
      </w:r>
    </w:p>
    <w:p w14:paraId="4937517B" w14:textId="77777777" w:rsidR="00AF73F3" w:rsidRDefault="00AF73F3" w:rsidP="003E3BA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A3DBF99" w14:textId="77777777" w:rsidR="00AF73F3" w:rsidRDefault="00AF73F3" w:rsidP="00AF73F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Такабаев, Казис Кампаевич</w:t>
      </w:r>
    </w:p>
    <w:p w14:paraId="5DEC45EB"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433371"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 КОНЕЧНЫХ ЭЛЕМЕНТОВ И ЕГО ПРИМЕНЕНИЕ ДЛЯ АНАЛИЗА НАПРЯЖЕШО-ДООРМИРОВАННОГО СОСТОЯНИИ МАССИВА ГОРНЫХ ПОРОД.</w:t>
      </w:r>
    </w:p>
    <w:p w14:paraId="4919658B"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Основные зависимости метода конечных элементов</w:t>
      </w:r>
    </w:p>
    <w:p w14:paraId="6E596A1F"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Анализ напряженного состояния откосов, плотин (обзор)</w:t>
      </w:r>
    </w:p>
    <w:p w14:paraId="7749254A"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Исследование напряженно-деформированного состояния массива горных пород трапецио-дального профиля.</w:t>
      </w:r>
    </w:p>
    <w:p w14:paraId="4C2875CD"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73C254B"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ВЛИЯНИЕ ВРЕМЕНИ НА НАПРЯЖЕННО-ДЕФОРМИРОВАННОЕ</w:t>
      </w:r>
    </w:p>
    <w:p w14:paraId="696F96B2"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СОСТОЯНИЕ МАССИВА ГОРНЫХ ПОРОД.</w:t>
      </w:r>
    </w:p>
    <w:p w14:paraId="78F50C71"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Теоретические основы учета ползучести горных пород.</w:t>
      </w:r>
    </w:p>
    <w:p w14:paraId="6BEB4CD3"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Экспериментальные сведения о реологических свойствах горных пород.</w:t>
      </w:r>
    </w:p>
    <w:p w14:paraId="3CEF2B92"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Метод непосредственного использования изохронных кривых ползучести для решения задач ползучести горных пород.</w:t>
      </w:r>
    </w:p>
    <w:p w14:paraId="3E674FB0"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C68F000"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НЕЛИНЕЙНЫЕ ДЕФОРМАЦИИ ГОРНЫХ ПОРОД И ГРУНТОВ</w:t>
      </w:r>
    </w:p>
    <w:p w14:paraId="00CBFA68"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Теоретические и экспериментальные зависимости напряжений в грунтах от их деформации</w:t>
      </w:r>
    </w:p>
    <w:p w14:paraId="2C52296C"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Анализ напряженно-деформированного состояния грунтового массива трапевдодального профиля без учета влияния на кривую деформирования гидростатического давления</w:t>
      </w:r>
    </w:p>
    <w:p w14:paraId="670BCC34"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Влияние гидростатического давления на деформируемость среды.</w:t>
      </w:r>
    </w:p>
    <w:p w14:paraId="4AA5E688"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Вариант неизобарической теории пластического течения.</w:t>
      </w:r>
    </w:p>
    <w:p w14:paraId="5989C652"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w:t>
      </w:r>
    </w:p>
    <w:p w14:paraId="158A2C9B"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ЧИСЛЕННАЯ ОЦЕНКА ПРОЧНОСТИ МАССИВА ГОРНЫХ</w:t>
      </w:r>
    </w:p>
    <w:p w14:paraId="70DDF09A"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ПОРОД.</w:t>
      </w:r>
    </w:p>
    <w:p w14:paraId="0D6429ED"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Аналитические подхода при изучении разрушения горных пород.</w:t>
      </w:r>
    </w:p>
    <w:p w14:paraId="56A924D0" w14:textId="77777777" w:rsidR="00AF73F3" w:rsidRDefault="00AF73F3" w:rsidP="00AF73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Численный анализ разрушения массива горных пород трапециодального профиля.</w:t>
      </w:r>
    </w:p>
    <w:p w14:paraId="4CCADE6E" w14:textId="77D75C2A" w:rsidR="004F7911" w:rsidRPr="00AF73F3" w:rsidRDefault="004F7911" w:rsidP="00AF73F3"/>
    <w:sectPr w:rsidR="004F7911" w:rsidRPr="00AF73F3"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0C3F" w14:textId="77777777" w:rsidR="003E3BAF" w:rsidRDefault="003E3BAF">
      <w:pPr>
        <w:spacing w:after="0" w:line="240" w:lineRule="auto"/>
      </w:pPr>
      <w:r>
        <w:separator/>
      </w:r>
    </w:p>
  </w:endnote>
  <w:endnote w:type="continuationSeparator" w:id="0">
    <w:p w14:paraId="0B0B227B" w14:textId="77777777" w:rsidR="003E3BAF" w:rsidRDefault="003E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3086" w14:textId="77777777" w:rsidR="003E3BAF" w:rsidRDefault="003E3BAF"/>
    <w:p w14:paraId="6CFE700D" w14:textId="77777777" w:rsidR="003E3BAF" w:rsidRDefault="003E3BAF"/>
    <w:p w14:paraId="781D87CC" w14:textId="77777777" w:rsidR="003E3BAF" w:rsidRDefault="003E3BAF"/>
    <w:p w14:paraId="1FEF9EAA" w14:textId="77777777" w:rsidR="003E3BAF" w:rsidRDefault="003E3BAF"/>
    <w:p w14:paraId="46A6957B" w14:textId="77777777" w:rsidR="003E3BAF" w:rsidRDefault="003E3BAF"/>
    <w:p w14:paraId="7FC17296" w14:textId="77777777" w:rsidR="003E3BAF" w:rsidRDefault="003E3BAF"/>
    <w:p w14:paraId="3B55DBB4" w14:textId="77777777" w:rsidR="003E3BAF" w:rsidRDefault="003E3B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6BBD8E" wp14:editId="6B53CA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C440" w14:textId="77777777" w:rsidR="003E3BAF" w:rsidRDefault="003E3B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6BBD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3FC440" w14:textId="77777777" w:rsidR="003E3BAF" w:rsidRDefault="003E3B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DA61EE" w14:textId="77777777" w:rsidR="003E3BAF" w:rsidRDefault="003E3BAF"/>
    <w:p w14:paraId="3FEBC3A0" w14:textId="77777777" w:rsidR="003E3BAF" w:rsidRDefault="003E3BAF"/>
    <w:p w14:paraId="52BC94A2" w14:textId="77777777" w:rsidR="003E3BAF" w:rsidRDefault="003E3B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9508C2" wp14:editId="587D9D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E54E" w14:textId="77777777" w:rsidR="003E3BAF" w:rsidRDefault="003E3BAF"/>
                          <w:p w14:paraId="44F7C8A9" w14:textId="77777777" w:rsidR="003E3BAF" w:rsidRDefault="003E3B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508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E6E54E" w14:textId="77777777" w:rsidR="003E3BAF" w:rsidRDefault="003E3BAF"/>
                    <w:p w14:paraId="44F7C8A9" w14:textId="77777777" w:rsidR="003E3BAF" w:rsidRDefault="003E3B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EFDF1" w14:textId="77777777" w:rsidR="003E3BAF" w:rsidRDefault="003E3BAF"/>
    <w:p w14:paraId="1980E064" w14:textId="77777777" w:rsidR="003E3BAF" w:rsidRDefault="003E3BAF">
      <w:pPr>
        <w:rPr>
          <w:sz w:val="2"/>
          <w:szCs w:val="2"/>
        </w:rPr>
      </w:pPr>
    </w:p>
    <w:p w14:paraId="002D2E01" w14:textId="77777777" w:rsidR="003E3BAF" w:rsidRDefault="003E3BAF"/>
    <w:p w14:paraId="604A8F63" w14:textId="77777777" w:rsidR="003E3BAF" w:rsidRDefault="003E3BAF">
      <w:pPr>
        <w:spacing w:after="0" w:line="240" w:lineRule="auto"/>
      </w:pPr>
    </w:p>
  </w:footnote>
  <w:footnote w:type="continuationSeparator" w:id="0">
    <w:p w14:paraId="295E9DF2" w14:textId="77777777" w:rsidR="003E3BAF" w:rsidRDefault="003E3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2C03B23"/>
    <w:multiLevelType w:val="multilevel"/>
    <w:tmpl w:val="E704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BAF"/>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184150</TotalTime>
  <Pages>2</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cp:revision>
  <cp:lastPrinted>2009-02-06T05:36:00Z</cp:lastPrinted>
  <dcterms:created xsi:type="dcterms:W3CDTF">2024-01-07T13:43:00Z</dcterms:created>
  <dcterms:modified xsi:type="dcterms:W3CDTF">2025-10-14T21:04:00Z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