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65" w:rsidRDefault="00AE6C65" w:rsidP="00AE6C6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Алмугхід Іслам Мохаммад</w:t>
      </w:r>
      <w:r>
        <w:rPr>
          <w:rFonts w:ascii="CIDFont+F4" w:hAnsi="CIDFont+F4" w:cs="CIDFont+F4"/>
          <w:kern w:val="0"/>
          <w:sz w:val="28"/>
          <w:szCs w:val="28"/>
          <w:lang w:eastAsia="ru-RU"/>
        </w:rPr>
        <w:t>, аспірант Дніпровського національного</w:t>
      </w:r>
    </w:p>
    <w:p w:rsidR="00AE6C65" w:rsidRDefault="00AE6C65" w:rsidP="00AE6C6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імені Олеся Гончара, тема дисертації: «Агенти</w:t>
      </w:r>
    </w:p>
    <w:p w:rsidR="00AE6C65" w:rsidRDefault="00AE6C65" w:rsidP="00AE6C6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політичних змін як чинник інституалізації демократичної публічної  сфери», (052 Політологія). Спеціалізована вчена рада ДФ 08.051.007 у</w:t>
      </w:r>
    </w:p>
    <w:p w:rsidR="00805889" w:rsidRPr="00AE6C65" w:rsidRDefault="00AE6C65" w:rsidP="00AE6C65">
      <w:r>
        <w:rPr>
          <w:rFonts w:ascii="CIDFont+F4" w:hAnsi="CIDFont+F4" w:cs="CIDFont+F4"/>
          <w:kern w:val="0"/>
          <w:sz w:val="28"/>
          <w:szCs w:val="28"/>
          <w:lang w:eastAsia="ru-RU"/>
        </w:rPr>
        <w:t>Дніпровському національному університеті імені Олеся Гончара</w:t>
      </w:r>
    </w:p>
    <w:sectPr w:rsidR="00805889" w:rsidRPr="00AE6C6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AE6C65" w:rsidRPr="00AE6C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FD573-1206-4888-8E66-572EDFC9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2021-11-01T08:58:00Z</dcterms:created>
  <dcterms:modified xsi:type="dcterms:W3CDTF">2021-11-02T09:09:00Z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