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0DD" w14:textId="7AC32FDB" w:rsidR="00FD5E9E" w:rsidRDefault="00324670" w:rsidP="00324670">
      <w:pPr>
        <w:rPr>
          <w:rFonts w:ascii="Verdana" w:hAnsi="Verdana"/>
          <w:b/>
          <w:bCs/>
          <w:color w:val="000000"/>
          <w:shd w:val="clear" w:color="auto" w:fill="FFFFFF"/>
        </w:rPr>
      </w:pPr>
      <w:r>
        <w:rPr>
          <w:rFonts w:ascii="Verdana" w:hAnsi="Verdana"/>
          <w:b/>
          <w:bCs/>
          <w:color w:val="000000"/>
          <w:shd w:val="clear" w:color="auto" w:fill="FFFFFF"/>
        </w:rPr>
        <w:t xml:space="preserve">Агапова Марина Борисівна. Формування професійних інтересів учнів професійно-технічних навчальних закладів у процесі фахової підготовки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4670" w:rsidRPr="00324670" w14:paraId="3108C563" w14:textId="77777777" w:rsidTr="003246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670" w:rsidRPr="00324670" w14:paraId="43F9C026" w14:textId="77777777">
              <w:trPr>
                <w:tblCellSpacing w:w="0" w:type="dxa"/>
              </w:trPr>
              <w:tc>
                <w:tcPr>
                  <w:tcW w:w="0" w:type="auto"/>
                  <w:vAlign w:val="center"/>
                  <w:hideMark/>
                </w:tcPr>
                <w:p w14:paraId="2120E34F"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b/>
                      <w:bCs/>
                      <w:sz w:val="24"/>
                      <w:szCs w:val="24"/>
                    </w:rPr>
                    <w:lastRenderedPageBreak/>
                    <w:t>Агапова М. Б. Формування професійних інтересів учнів професійно-технічних навчальних закладів у процесі фахової підготовки. – Рукопис.</w:t>
                  </w:r>
                </w:p>
                <w:p w14:paraId="05BD0812"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Житомирський державний університет імені Івана Франка, Житомир, 2008.</w:t>
                  </w:r>
                </w:p>
                <w:p w14:paraId="3FEB611F"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Дисертаційна робота є теоретико-експериментальним дослідженням проблеми формування професійних інтересів учнів професійно-технічних навчальних закладів у процесі фахової підготовки. Досліджено історичні аспекти розвитку професійних інтересів у контексті розвитку професійно-технічної освіти. Проаналізовано сутність та взаємозв’язок базових понять дослідження; розглянуто методологічні основи формування професійних інтересів учнів професійно-технічних навчальних закладів у процесі фахової підготовки. Розроблено структуру професійних інтересів учнів професійно-технічних навчальних закладів. Обґрунтовано та впроваджено технологію формування професійних інтересів учнів професійно-технічних навчальних закладів у процесі фахової підготовки. Ефективність технології доведено й перевірено експериментально. Основні результати дослідження впроваджено у навчальний процес професійно-технічних навчальних закладів.</w:t>
                  </w:r>
                </w:p>
              </w:tc>
            </w:tr>
          </w:tbl>
          <w:p w14:paraId="5F4D3C22" w14:textId="77777777" w:rsidR="00324670" w:rsidRPr="00324670" w:rsidRDefault="00324670" w:rsidP="00324670">
            <w:pPr>
              <w:spacing w:after="0" w:line="240" w:lineRule="auto"/>
              <w:rPr>
                <w:rFonts w:ascii="Times New Roman" w:eastAsia="Times New Roman" w:hAnsi="Times New Roman" w:cs="Times New Roman"/>
                <w:sz w:val="24"/>
                <w:szCs w:val="24"/>
              </w:rPr>
            </w:pPr>
          </w:p>
        </w:tc>
      </w:tr>
      <w:tr w:rsidR="00324670" w:rsidRPr="00324670" w14:paraId="50DDF851" w14:textId="77777777" w:rsidTr="003246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670" w:rsidRPr="00324670" w14:paraId="4A15851F" w14:textId="77777777">
              <w:trPr>
                <w:tblCellSpacing w:w="0" w:type="dxa"/>
              </w:trPr>
              <w:tc>
                <w:tcPr>
                  <w:tcW w:w="0" w:type="auto"/>
                  <w:vAlign w:val="center"/>
                  <w:hideMark/>
                </w:tcPr>
                <w:p w14:paraId="3889230F"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В умовах оновлення професійно-технічної освіти України особливого значення набуває проблема формування професійних інтересів учнів професійно-технічних навчальних закладів у процесі фахової підготовки, як гаранта ефективної фахової діяльності, професійної адаптації сучасних робітників у нових ринкових умовах.</w:t>
                  </w:r>
                </w:p>
                <w:p w14:paraId="0012C3DB"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Узагальнення результатів дослідження дозволило зробити наступні висновки:</w:t>
                  </w:r>
                </w:p>
                <w:p w14:paraId="6AF04E05"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1. На основі здійсненого історико-педагогічного аналізу досліджуваної проблеми виявлено залежність розвитку професійних інтересів від виробничих та економічних відносин, соціальних умов. Становлення і розвиток професійно-технічної освіти, формування професійних інтересів як її складової, відбулися впродовж тривалого історичного періоду під впливом змін у суспільстві, системі освіти в цілому та професійній освіті зокрема.</w:t>
                  </w:r>
                </w:p>
                <w:p w14:paraId="1FEE0F21"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Окреслено шлях від зародження ремесел (VI тис. до н.е.), коли проблема розвитку професійних інтересів взагалі не розглядалася і навчання зводилося до механічного повторення дій наставника, до пошуку нових підходів щодо розбудови професійно-технічної освіти (ХХ – початок ХХІ ст.), де формування професійних інтересів стає невід’ємною, органічною складовою навчально-виховного процесу. Визначено, що інтерес, зокрема, професійний, являє собою своєрідний показник ставлення суспільства до особистості.</w:t>
                  </w:r>
                </w:p>
                <w:p w14:paraId="0AC7291A"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2. Обґрунтовано теоретичні засади формування професійних інтересів учнів професійно-технічних навчальних закладів, проаналізовано основні поняття дослідження (“мотивація”, “мотив”, “інтерес”, “професійний інтерес”), виділено їх спільні та відмінні категоріальні ознаки. Сформульовано базове поняття “професійні інтереси учня професійно-технічного навчального закладу” як чітко мотивоване ставлення, кероване емоційно-вольовими механізмами, що спонукає особистість до здійснення професійної діяльності.</w:t>
                  </w:r>
                </w:p>
                <w:p w14:paraId="15808232"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 xml:space="preserve">Шляхом аналізу сучасних наукових підходів у дослідженні професійних інтересів розроблено структуру професійних інтересів, яка включає взаємопов’язані компоненти, що забезпечують </w:t>
                  </w:r>
                  <w:r w:rsidRPr="00324670">
                    <w:rPr>
                      <w:rFonts w:ascii="Times New Roman" w:eastAsia="Times New Roman" w:hAnsi="Times New Roman" w:cs="Times New Roman"/>
                      <w:sz w:val="24"/>
                      <w:szCs w:val="24"/>
                    </w:rPr>
                    <w:lastRenderedPageBreak/>
                    <w:t>цілісність професійної діяльності учнів професійно-технічних навчальних закладів: мотиваційний; емоційно-регулятивний; змістовий; практичний; результативний. Змістове наповнення кожного з компонентів сприяє формуванню професійних інтересів учнів професійно-технічних навчальних закладів під час фахової підготовки.</w:t>
                  </w:r>
                </w:p>
                <w:p w14:paraId="7E0F7108"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3. Визначено стан сформованості професійних інтересів кваліфікованих робітників зазначеної професії за показниками: ставлення до професійної діяльності, рівень сформованості спеціальних знань, умінь, навичок та емоційно-регулятивної сфери. Результати констатувального етапу експерименту підтвердили правильність висунутого припущення: наявний рівень сформованості досліджуваних компонентів професійної діяльності кваліфікованих робітників потребує вдосконалення фахової підготовки учнів професійно-технічних навчальних закладів у напрямі подальшого розвитку їх професійних інтересів.</w:t>
                  </w:r>
                </w:p>
                <w:p w14:paraId="31703AF1"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4. Теоретично обґрунтовані підходи (проектувальний, коуч-підхід та інтегративний) щодо формування професійних інтересів учнів професійно-технічних навчальних закладів у процесі фахової підготовки було покладено в основу розробки авторської технології, упровадження якої у навчальний процес спрямоване на оволодіння учнями вміннями самостійно здобувати та конструювати свої знання, використовувати їх при розв’язанні нових пізнавальних і практичних завдань, встановлювати та усвідомлювати міжгалузеві зв’язки, адаптувати набуті знання та вміння до нових умов професійної діяльності, оволодівати навичками критичного мислення. Реалізація технології засвідчила, що її оптимальний характер визначається шляхом оновлення змісту фахової підготовки, використанням доцільних форм навчання та комплексу методів, що органічно поєднують метод проектів з традиційними методами навчання.</w:t>
                  </w:r>
                </w:p>
                <w:p w14:paraId="3991ECEB"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Експериментально підтверджено ефективність авторської технології. Відбулися суттєві зміни в мотиваційній та емоційно-регулятивній сферах особистості учнів професійно-технічних навчальних закладів інтегрованої професії “Оператор комп’ютерного набору. Секретар керівника”. Рівень сформованості знань та пов’язаних із ними вмінь в учнів експериментальних груп випереджає відповідний рівень у контрольних групах і суттєво зростає порівняно з вихідним рівнем.</w:t>
                  </w:r>
                </w:p>
                <w:p w14:paraId="2E3AC425"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5. Підготовлено навчально-методичне забезпечення курсу “Технології комп’ютерної обробки інформації” щодо впровадження технології формування професійних інтересів учнів професійно-технічних навчальних закладів на прикладі інтегрованої професії “Оператор комп’ютерного набору. Секретар керівника” у навчальний процес професійно-технічних навчальних закладів.</w:t>
                  </w:r>
                </w:p>
                <w:p w14:paraId="1F8391F1"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Матеріали дослідження доцільно використати при реалізації Концепції державної системи професійної орієнтації населення, затвердженої постановою Кабінету Міністрів України від 17 вересня 2008 р. (№ 842).</w:t>
                  </w:r>
                </w:p>
                <w:p w14:paraId="15827D81" w14:textId="77777777" w:rsidR="00324670" w:rsidRPr="00324670" w:rsidRDefault="00324670" w:rsidP="00324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670">
                    <w:rPr>
                      <w:rFonts w:ascii="Times New Roman" w:eastAsia="Times New Roman" w:hAnsi="Times New Roman" w:cs="Times New Roman"/>
                      <w:sz w:val="24"/>
                      <w:szCs w:val="24"/>
                    </w:rPr>
                    <w:t>Виконане дослідження не претендує на повне розв’язання проблеми формування професійних інтересів учнів професійно-технічних навчальних закладів у процесі фахової підготовки, не вичерпує всіх аспектів порушеної проблеми. Серед подальших напрямів наукових розробок – пошук, обґрунтування та адаптація доцільних форм і методів формування професійних інтересів майбутніх фахівців різних галузей у процесі вивчення дисциплін загальноосвітнього циклу.</w:t>
                  </w:r>
                </w:p>
              </w:tc>
            </w:tr>
          </w:tbl>
          <w:p w14:paraId="36A0C623" w14:textId="77777777" w:rsidR="00324670" w:rsidRPr="00324670" w:rsidRDefault="00324670" w:rsidP="00324670">
            <w:pPr>
              <w:spacing w:after="0" w:line="240" w:lineRule="auto"/>
              <w:rPr>
                <w:rFonts w:ascii="Times New Roman" w:eastAsia="Times New Roman" w:hAnsi="Times New Roman" w:cs="Times New Roman"/>
                <w:sz w:val="24"/>
                <w:szCs w:val="24"/>
              </w:rPr>
            </w:pPr>
          </w:p>
        </w:tc>
      </w:tr>
    </w:tbl>
    <w:p w14:paraId="06504659" w14:textId="77777777" w:rsidR="00324670" w:rsidRPr="00324670" w:rsidRDefault="00324670" w:rsidP="00324670"/>
    <w:sectPr w:rsidR="00324670" w:rsidRPr="003246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04DF" w14:textId="77777777" w:rsidR="008F6A6C" w:rsidRDefault="008F6A6C">
      <w:pPr>
        <w:spacing w:after="0" w:line="240" w:lineRule="auto"/>
      </w:pPr>
      <w:r>
        <w:separator/>
      </w:r>
    </w:p>
  </w:endnote>
  <w:endnote w:type="continuationSeparator" w:id="0">
    <w:p w14:paraId="29F54DA0" w14:textId="77777777" w:rsidR="008F6A6C" w:rsidRDefault="008F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678B" w14:textId="77777777" w:rsidR="008F6A6C" w:rsidRDefault="008F6A6C">
      <w:pPr>
        <w:spacing w:after="0" w:line="240" w:lineRule="auto"/>
      </w:pPr>
      <w:r>
        <w:separator/>
      </w:r>
    </w:p>
  </w:footnote>
  <w:footnote w:type="continuationSeparator" w:id="0">
    <w:p w14:paraId="13B3D685" w14:textId="77777777" w:rsidR="008F6A6C" w:rsidRDefault="008F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6A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14"/>
  </w:num>
  <w:num w:numId="4">
    <w:abstractNumId w:val="6"/>
  </w:num>
  <w:num w:numId="5">
    <w:abstractNumId w:val="13"/>
  </w:num>
  <w:num w:numId="6">
    <w:abstractNumId w:val="17"/>
  </w:num>
  <w:num w:numId="7">
    <w:abstractNumId w:val="9"/>
  </w:num>
  <w:num w:numId="8">
    <w:abstractNumId w:val="3"/>
  </w:num>
  <w:num w:numId="9">
    <w:abstractNumId w:val="7"/>
  </w:num>
  <w:num w:numId="10">
    <w:abstractNumId w:val="12"/>
  </w:num>
  <w:num w:numId="11">
    <w:abstractNumId w:val="5"/>
  </w:num>
  <w:num w:numId="12">
    <w:abstractNumId w:val="1"/>
  </w:num>
  <w:num w:numId="13">
    <w:abstractNumId w:val="11"/>
  </w:num>
  <w:num w:numId="14">
    <w:abstractNumId w:val="16"/>
  </w:num>
  <w:num w:numId="15">
    <w:abstractNumId w:val="4"/>
  </w:num>
  <w:num w:numId="16">
    <w:abstractNumId w:val="18"/>
  </w:num>
  <w:num w:numId="17">
    <w:abstractNumId w:val="0"/>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A6C"/>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28001</TotalTime>
  <Pages>3</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5676</cp:revision>
  <dcterms:created xsi:type="dcterms:W3CDTF">2024-06-20T08:51:00Z</dcterms:created>
  <dcterms:modified xsi:type="dcterms:W3CDTF">2024-07-20T13:21:00Z</dcterms:modified>
  <cp:category/>
</cp:coreProperties>
</file>