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83963" w:rsidRDefault="00F30FCD"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принуждение в механизме обеспечения законности деятельности органов и должностных лиц местного самоуправления</w:t>
      </w:r>
      <w:r>
        <w:rPr>
          <w:rFonts w:ascii="Verdana" w:hAnsi="Verdana"/>
          <w:color w:val="000000"/>
          <w:sz w:val="18"/>
          <w:szCs w:val="18"/>
        </w:rPr>
        <w:br/>
      </w:r>
      <w:r>
        <w:rPr>
          <w:rFonts w:ascii="Verdana" w:hAnsi="Verdana"/>
          <w:color w:val="000000"/>
          <w:sz w:val="18"/>
          <w:szCs w:val="18"/>
        </w:rPr>
        <w:br/>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Год: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2011</w:t>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Давыдова, Наталья Юрьевна</w:t>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Москва</w:t>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12.00.02</w:t>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30FCD" w:rsidRDefault="00F30FCD" w:rsidP="00F30F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30FCD" w:rsidRDefault="00F30FCD" w:rsidP="00F30FCD">
      <w:pPr>
        <w:spacing w:line="270" w:lineRule="atLeast"/>
        <w:rPr>
          <w:rFonts w:ascii="Verdana" w:hAnsi="Verdana"/>
          <w:color w:val="000000"/>
          <w:sz w:val="18"/>
          <w:szCs w:val="18"/>
        </w:rPr>
      </w:pPr>
      <w:r>
        <w:rPr>
          <w:rFonts w:ascii="Verdana" w:hAnsi="Verdana"/>
          <w:color w:val="000000"/>
          <w:sz w:val="18"/>
          <w:szCs w:val="18"/>
        </w:rPr>
        <w:t>195</w:t>
      </w:r>
    </w:p>
    <w:p w:rsidR="00F30FCD" w:rsidRDefault="00F30FCD" w:rsidP="00F30FC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Давыдова, Наталья Юрьевна</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Конституционно-правовое</w:t>
      </w:r>
      <w:r>
        <w:rPr>
          <w:rStyle w:val="WW8Num3z0"/>
          <w:rFonts w:ascii="Verdana" w:hAnsi="Verdana"/>
          <w:color w:val="000000"/>
          <w:sz w:val="18"/>
          <w:szCs w:val="18"/>
        </w:rPr>
        <w:t> </w:t>
      </w:r>
      <w:r>
        <w:rPr>
          <w:rFonts w:ascii="Verdana" w:hAnsi="Verdana"/>
          <w:color w:val="000000"/>
          <w:sz w:val="18"/>
          <w:szCs w:val="18"/>
        </w:rPr>
        <w:t>принуждение как средство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деятельности органов и должностных лиц</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Механизм</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законности деятельности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Природа и виды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Меры конституционно-правовой защиты, применяемые к органам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Отмена муниципального правового акта, признание его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отмена юридически значимого результата</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Временное осуществление органами государственной власти отдельных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Отзыв переданных отдельных государственных полномочий</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Меры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и должностных лиц местного самоуправления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Отзыв</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представительного органа муниципального образования, члена</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выборного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Роспуск</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отрешение от должности главы муниципального образования, главы местной администрации</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Удаление главы муниципального образования в отставку 151 Заключение 164 Список использованных нормативных правовых актов,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литературы</w:t>
      </w:r>
    </w:p>
    <w:p w:rsidR="00F30FCD" w:rsidRDefault="00F30FCD" w:rsidP="00F30F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30FCD" w:rsidRDefault="00F30FCD" w:rsidP="00F30FC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принуждение в механизме обеспечения законности деятельности органов и должностных лиц местного самоуправления"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пятнадцати лет в России идет процесс становления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самостоятельного уровня публичной власти в стране. Этот процесс сопровождается постоянной реформой его' организации1. Формирование эффективных правовых механизмов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субъектов, осуществляющих муниципальную власть, является одной из задач, решаемых в ходе муниципальной реформы на современном этапе.</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выступает важной гарантией реальности местного самоуправления, выполняет самостоятельную роль в обеспечении законности в деятельности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 xml:space="preserve">лиц. Вместе с тем данный институт призван обеспечить </w:t>
      </w:r>
      <w:r>
        <w:rPr>
          <w:rFonts w:ascii="Verdana" w:hAnsi="Verdana"/>
          <w:color w:val="000000"/>
          <w:sz w:val="18"/>
          <w:szCs w:val="18"/>
        </w:rPr>
        <w:lastRenderedPageBreak/>
        <w:t>всестороннюю защиту интересов населения,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государства. С'этой точки зрения он нуждается в особом государственно-правовом механизме реализации.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проведения, муниципальной реформы были усовершенствованы уже существовавшие правовые механизмы конституционно-правового принуждения, обеспечивающие</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деятельности органов и должностных лиц местного самоуправления, введены новые его меры, установлены основания и порядок их применения. Изменения затронули регулирование отзыва</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представительных органов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местного самоуправления, роспуска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отрешения от должности главы муниципального образования и главы местной администрации. Новой' правовой реалией стали институты временного осуществления органами го</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Муниципальная реформа в Российской Федерации: правовое и экономическое исследование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 М.: Эксмо, 2010. 3 сударственной власти отдельных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удаления главы муниципального образования в отставку.</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практики реализации указанных новелл, а также определение эффективности действия относительно стабильных институтов конституционно-правового принуждения, применяемого в рассматриваемой сфере, является актуальной задачей правовой науки.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проблематика актуализируется не только в связи с проведением муниципальной реформы, изменением законодательства и накоплением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настоящее время наблюдается восстребован-ность исследований государственно-правового принуждения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вышеизложенного следует, что актуальность избранной темы определяется следующими обстоятельствами объективного и субъективного характера:</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важностью создания необходимых правовых основ и условий для стабильного функционирования местного самоуправления как одного из &lt; уровней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российском обществе и государстве;</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содержанием проводимой в России реформы организации местного самоуправления;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нестабильностью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и, в частности, института конституционно-правового принуждения, применяемого к органам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местного самоуправления;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необходимостью разработки на общегосударственном уровне концептуальных основ правового регулирования общественных отношений, связанных с применением мер конституционно-правового принуждения к субъектам, осуществляющим муниципальную власть;</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целью обеспечения законности в деятельности органов и должностных лиц местного самоуправления, а также задачей повышения эффективности правового регулирования соответствующих общественных отношений и обеспечения потребностей правоприменительной практики в этой сфере.</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правовой науке имеется задел в исследовании государственно-правового принуждения в целом и его конституционно-правовой разновидности, в частности. Так,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в целом, и его отраслевые виды исследовались Б. Т.</w:t>
      </w:r>
      <w:r>
        <w:rPr>
          <w:rStyle w:val="WW8Num3z0"/>
          <w:rFonts w:ascii="Verdana" w:hAnsi="Verdana"/>
          <w:color w:val="000000"/>
          <w:sz w:val="18"/>
          <w:szCs w:val="18"/>
        </w:rPr>
        <w:t> </w:t>
      </w:r>
      <w:r>
        <w:rPr>
          <w:rStyle w:val="WW8Num4z0"/>
          <w:rFonts w:ascii="Verdana" w:hAnsi="Verdana"/>
          <w:color w:val="4682B4"/>
          <w:sz w:val="18"/>
          <w:szCs w:val="18"/>
        </w:rPr>
        <w:t>Базылевым</w:t>
      </w:r>
      <w:r>
        <w:rPr>
          <w:rFonts w:ascii="Verdana" w:hAnsi="Verdana"/>
          <w:color w:val="000000"/>
          <w:sz w:val="18"/>
          <w:szCs w:val="18"/>
        </w:rPr>
        <w:t>, Д.Н. Бахрахом, П.В. Дихтиевским, A.C.</w:t>
      </w:r>
      <w:r>
        <w:rPr>
          <w:rStyle w:val="WW8Num3z0"/>
          <w:rFonts w:ascii="Verdana" w:hAnsi="Verdana"/>
          <w:color w:val="000000"/>
          <w:sz w:val="18"/>
          <w:szCs w:val="18"/>
        </w:rPr>
        <w:t> </w:t>
      </w:r>
      <w:r>
        <w:rPr>
          <w:rStyle w:val="WW8Num4z0"/>
          <w:rFonts w:ascii="Verdana" w:hAnsi="Verdana"/>
          <w:color w:val="4682B4"/>
          <w:sz w:val="18"/>
          <w:szCs w:val="18"/>
        </w:rPr>
        <w:t>Емельяновым</w:t>
      </w:r>
      <w:r>
        <w:rPr>
          <w:rFonts w:ascii="Verdana" w:hAnsi="Verdana"/>
          <w:color w:val="000000"/>
          <w:sz w:val="18"/>
          <w:szCs w:val="18"/>
        </w:rPr>
        <w:t>, A.B. Зарицким, А.И. Каплуновым, А.И. Козулыным, С.Н.</w:t>
      </w:r>
      <w:r>
        <w:rPr>
          <w:rStyle w:val="WW8Num3z0"/>
          <w:rFonts w:ascii="Verdana" w:hAnsi="Verdana"/>
          <w:color w:val="000000"/>
          <w:sz w:val="18"/>
          <w:szCs w:val="18"/>
        </w:rPr>
        <w:t> </w:t>
      </w:r>
      <w:r>
        <w:rPr>
          <w:rStyle w:val="WW8Num4z0"/>
          <w:rFonts w:ascii="Verdana" w:hAnsi="Verdana"/>
          <w:color w:val="4682B4"/>
          <w:sz w:val="18"/>
          <w:szCs w:val="18"/>
        </w:rPr>
        <w:t>Кожевниковым</w:t>
      </w:r>
      <w:r>
        <w:rPr>
          <w:rFonts w:ascii="Verdana" w:hAnsi="Verdana"/>
          <w:color w:val="000000"/>
          <w:sz w:val="18"/>
          <w:szCs w:val="18"/>
        </w:rPr>
        <w:t>, Н.И. Козюброй, A.C. Пучниным, H.A.</w:t>
      </w:r>
      <w:r>
        <w:rPr>
          <w:rStyle w:val="WW8Num3z0"/>
          <w:rFonts w:ascii="Verdana" w:hAnsi="Verdana"/>
          <w:color w:val="000000"/>
          <w:sz w:val="18"/>
          <w:szCs w:val="18"/>
        </w:rPr>
        <w:t> </w:t>
      </w:r>
      <w:r>
        <w:rPr>
          <w:rStyle w:val="WW8Num4z0"/>
          <w:rFonts w:ascii="Verdana" w:hAnsi="Verdana"/>
          <w:color w:val="4682B4"/>
          <w:sz w:val="18"/>
          <w:szCs w:val="18"/>
        </w:rPr>
        <w:t>Сатаровой</w:t>
      </w:r>
      <w:r>
        <w:rPr>
          <w:rFonts w:ascii="Verdana" w:hAnsi="Verdana"/>
          <w:color w:val="000000"/>
          <w:sz w:val="18"/>
          <w:szCs w:val="18"/>
        </w:rPr>
        <w:t>, КС. Сарсеновым, В.В. Серегиной и др. Комплексное исследование конституционно-правового принуждения было проведено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 работ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посвящено изучению одной из разновидности мер конституционно-правового принуждения в сфере местного самоуправления - мерам конституционно-правовой ответственности. Речь идет об- исследованиях С.А.</w:t>
      </w:r>
      <w:r>
        <w:rPr>
          <w:rStyle w:val="WW8Num3z0"/>
          <w:rFonts w:ascii="Verdana" w:hAnsi="Verdana"/>
          <w:color w:val="000000"/>
          <w:sz w:val="18"/>
          <w:szCs w:val="18"/>
        </w:rPr>
        <w:t> </w:t>
      </w:r>
      <w:r>
        <w:rPr>
          <w:rStyle w:val="WW8Num4z0"/>
          <w:rFonts w:ascii="Verdana" w:hAnsi="Verdana"/>
          <w:color w:val="4682B4"/>
          <w:sz w:val="18"/>
          <w:szCs w:val="18"/>
        </w:rPr>
        <w:t>Авакъяна</w:t>
      </w:r>
      <w:r>
        <w:rPr>
          <w:rFonts w:ascii="Verdana" w:hAnsi="Verdana"/>
          <w:color w:val="000000"/>
          <w:sz w:val="18"/>
          <w:szCs w:val="18"/>
        </w:rPr>
        <w:t>, К.И. Амирбекова, В.И. Бабичева, О.В.</w:t>
      </w:r>
      <w:r>
        <w:rPr>
          <w:rStyle w:val="WW8Num3z0"/>
          <w:rFonts w:ascii="Verdana" w:hAnsi="Verdana"/>
          <w:color w:val="000000"/>
          <w:sz w:val="18"/>
          <w:szCs w:val="18"/>
        </w:rPr>
        <w:t> </w:t>
      </w:r>
      <w:r>
        <w:rPr>
          <w:rStyle w:val="WW8Num4z0"/>
          <w:rFonts w:ascii="Verdana" w:hAnsi="Verdana"/>
          <w:color w:val="4682B4"/>
          <w:sz w:val="18"/>
          <w:szCs w:val="18"/>
        </w:rPr>
        <w:t>Берга</w:t>
      </w:r>
      <w:r>
        <w:rPr>
          <w:rFonts w:ascii="Verdana" w:hAnsi="Verdana"/>
          <w:color w:val="000000"/>
          <w:sz w:val="18"/>
          <w:szCs w:val="18"/>
        </w:rPr>
        <w:t>, Н.С. Бондаря, H.A. Вагановой,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Г.А. Гаджиева, В.А. Горожанина, Ю.А.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М.С. Долгополовой, H.A. Емельянова, Т.С.</w:t>
      </w:r>
      <w:r>
        <w:rPr>
          <w:rStyle w:val="WW8Num3z0"/>
          <w:rFonts w:ascii="Verdana" w:hAnsi="Verdana"/>
          <w:color w:val="000000"/>
          <w:sz w:val="18"/>
          <w:szCs w:val="18"/>
        </w:rPr>
        <w:t> </w:t>
      </w:r>
      <w:r>
        <w:rPr>
          <w:rStyle w:val="WW8Num4z0"/>
          <w:rFonts w:ascii="Verdana" w:hAnsi="Verdana"/>
          <w:color w:val="4682B4"/>
          <w:sz w:val="18"/>
          <w:szCs w:val="18"/>
        </w:rPr>
        <w:t>Емельяновой</w:t>
      </w:r>
      <w:r>
        <w:rPr>
          <w:rFonts w:ascii="Verdana" w:hAnsi="Verdana"/>
          <w:color w:val="000000"/>
          <w:sz w:val="18"/>
          <w:szCs w:val="18"/>
        </w:rPr>
        <w:t>, А.Р. Еремина, Е.В. Измайловой, СД. Князева, Е.М. Ковешнико-ва, Е.Г.</w:t>
      </w:r>
      <w:r>
        <w:rPr>
          <w:rStyle w:val="WW8Num3z0"/>
          <w:rFonts w:ascii="Verdana" w:hAnsi="Verdana"/>
          <w:color w:val="000000"/>
          <w:sz w:val="18"/>
          <w:szCs w:val="18"/>
        </w:rPr>
        <w:t> </w:t>
      </w:r>
      <w:r>
        <w:rPr>
          <w:rStyle w:val="WW8Num4z0"/>
          <w:rFonts w:ascii="Verdana" w:hAnsi="Verdana"/>
          <w:color w:val="4682B4"/>
          <w:sz w:val="18"/>
          <w:szCs w:val="18"/>
        </w:rPr>
        <w:t>Кольцовой</w:t>
      </w:r>
      <w:r>
        <w:rPr>
          <w:rFonts w:ascii="Verdana" w:hAnsi="Verdana"/>
          <w:color w:val="000000"/>
          <w:sz w:val="18"/>
          <w:szCs w:val="18"/>
        </w:rPr>
        <w:t>, М.А. Краснова, И.А". Кравца, М.М.</w:t>
      </w:r>
      <w:r>
        <w:rPr>
          <w:rStyle w:val="WW8Num3z0"/>
          <w:rFonts w:ascii="Verdana" w:hAnsi="Verdana"/>
          <w:color w:val="000000"/>
          <w:sz w:val="18"/>
          <w:szCs w:val="18"/>
        </w:rPr>
        <w:t> </w:t>
      </w:r>
      <w:r>
        <w:rPr>
          <w:rStyle w:val="WW8Num4z0"/>
          <w:rFonts w:ascii="Verdana" w:hAnsi="Verdana"/>
          <w:color w:val="4682B4"/>
          <w:sz w:val="18"/>
          <w:szCs w:val="18"/>
        </w:rPr>
        <w:t>Мокеева</w:t>
      </w:r>
      <w:r>
        <w:rPr>
          <w:rFonts w:ascii="Verdana" w:hAnsi="Verdana"/>
          <w:color w:val="000000"/>
          <w:sz w:val="18"/>
          <w:szCs w:val="18"/>
        </w:rPr>
        <w:t>, С.С. Мялков-ского, JI.A. Нудненко, JI.H.</w:t>
      </w:r>
      <w:r>
        <w:rPr>
          <w:rStyle w:val="WW8Num3z0"/>
          <w:rFonts w:ascii="Verdana" w:hAnsi="Verdana"/>
          <w:color w:val="000000"/>
          <w:sz w:val="18"/>
          <w:szCs w:val="18"/>
        </w:rPr>
        <w:t> </w:t>
      </w:r>
      <w:r>
        <w:rPr>
          <w:rStyle w:val="WW8Num4z0"/>
          <w:rFonts w:ascii="Verdana" w:hAnsi="Verdana"/>
          <w:color w:val="4682B4"/>
          <w:sz w:val="18"/>
          <w:szCs w:val="18"/>
        </w:rPr>
        <w:t>Пешина</w:t>
      </w:r>
      <w:r>
        <w:rPr>
          <w:rFonts w:ascii="Verdana" w:hAnsi="Verdana"/>
          <w:color w:val="000000"/>
          <w:sz w:val="18"/>
          <w:szCs w:val="18"/>
        </w:rPr>
        <w:t>, Н.В. Постового, В.В. Пылина, Л.А. Ре-венко, A.A.</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Ю.А. Тихомирова, A.A. Уварова,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xml:space="preserve">, Г.Н. Чеботарева, H.H. </w:t>
      </w:r>
      <w:r>
        <w:rPr>
          <w:rFonts w:ascii="Verdana" w:hAnsi="Verdana"/>
          <w:color w:val="000000"/>
          <w:sz w:val="18"/>
          <w:szCs w:val="18"/>
        </w:rPr>
        <w:lastRenderedPageBreak/>
        <w:t>Черногора, КФ. Шеремета, А.Н.</w:t>
      </w:r>
      <w:r>
        <w:rPr>
          <w:rStyle w:val="WW8Num3z0"/>
          <w:rFonts w:ascii="Verdana" w:hAnsi="Verdana"/>
          <w:color w:val="000000"/>
          <w:sz w:val="18"/>
          <w:szCs w:val="18"/>
        </w:rPr>
        <w:t> </w:t>
      </w:r>
      <w:r>
        <w:rPr>
          <w:rStyle w:val="WW8Num4z0"/>
          <w:rFonts w:ascii="Verdana" w:hAnsi="Verdana"/>
          <w:color w:val="4682B4"/>
          <w:sz w:val="18"/>
          <w:szCs w:val="18"/>
        </w:rPr>
        <w:t>Широкова</w:t>
      </w:r>
      <w:r>
        <w:rPr>
          <w:rFonts w:ascii="Verdana" w:hAnsi="Verdana"/>
          <w:color w:val="000000"/>
          <w:sz w:val="18"/>
          <w:szCs w:val="18"/>
        </w:rPr>
        <w:t>, Е.С. Шугриной и др. Однако в работах упомянутых авторов иначе определяется предмет исследования и, соответственно, по-другому расставлены акценты. В результате, остается без должного внимания целостный анализ данного правового явления отраслевом уровне, а1 существующие теоретические выкладки не образуют необходимую систему научных знаний.</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специфика исследуемой материи, важность задачи создания необходимых правовых основ и условий для стабильного функционирования местного самоуправления как одного из уровней осуществления публичной власти в российском обществе и государстве обусловили необходимость разработки данной темы в диссертационном исследовании.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определение места и роли конституционно-правового принуждения в механизме обеспечения законности деятельности органов и должностных лиц местного самоуправления, а также решение методологических и концептуальных вопросов конституционно-правового регулирования общественных отношений, связанных с применением его мер.</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обобщить, проанализировать и критически переосмыслить основные положения общей теории законности;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разработать теоретическую модель механизма обеспечения законности деятельности органов и должностных лиц местного самоуправления;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раскрыть природу и дать общую характеристику институту конституционно-правового принуждения в Российской Федерации;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устойчивые тенденции в развитии института конституционно-правового принуждения, применяемого в сфере местного самоуправления;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федеральное законодательство о местном самоуправлении в его развитии, законы субъектов РФ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выявить закономерности федерального, регионального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части правового закрепления мер конституционно-правового принуждения, применяемого к органам и к должностным лицам местного самоуправления;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обобщить практику реализации соответствующих правовых норм;</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разработать предложения по совершенствованию правового регулирования общественных отношений, связанных с применением к органам и к должностным лицам местного самоуправления мер конституционно-правового принуждения.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связанные с применением конституционно-правового принуждения с целью обеспечения законности деятельности органов и должностных лиц местного самоуправления.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составили конституционно-правовое принуждение и его меры, применяемые к органам и должностным лицам местного самоуправления, правовая основа данного вида государственно-правового принуждения, а также практика реализации соответствующих правовых норм.</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Методологическую основу диссертационного исследования составили всеобщий диалектический метод познания и основанные на нем общенаучные и частнона-учные методы исследования, позволяющие изучать явления окружающей действительности в их взаимосвязи, взаимозависимости и взаимообусловленности (системный, анализ, синтез, индукция, дедукция, сравнительно-правовой, формально-юридический и др.).</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вышеназванных методов не исключает, в отдельных случаях, возможности простого изложения фактов в качестве необходимой аргументации, имеющей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значение и выявляющей особенности исследуемой проблемы.</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Теоретическую основу исследования составляют труды отечественных ученых-правоведов - специалистов в области общей теории права и государства, а также представителей наук </w:t>
      </w:r>
      <w:r>
        <w:rPr>
          <w:rFonts w:ascii="Verdana" w:hAnsi="Verdana"/>
          <w:color w:val="000000"/>
          <w:sz w:val="18"/>
          <w:szCs w:val="18"/>
        </w:rPr>
        <w:lastRenderedPageBreak/>
        <w:t>конституционного и муниципального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З.А. Астемирова, С.Н. Братуся,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Н.Т. Ведерникова, Н.В. Витрука, И.В.</w:t>
      </w:r>
      <w:r>
        <w:rPr>
          <w:rStyle w:val="WW8Num3z0"/>
          <w:rFonts w:ascii="Verdana" w:hAnsi="Verdana"/>
          <w:color w:val="000000"/>
          <w:sz w:val="18"/>
          <w:szCs w:val="18"/>
        </w:rPr>
        <w:t> </w:t>
      </w:r>
      <w:r>
        <w:rPr>
          <w:rStyle w:val="WW8Num4z0"/>
          <w:rFonts w:ascii="Verdana" w:hAnsi="Verdana"/>
          <w:color w:val="4682B4"/>
          <w:sz w:val="18"/>
          <w:szCs w:val="18"/>
        </w:rPr>
        <w:t>Выдрина</w:t>
      </w:r>
      <w:r>
        <w:rPr>
          <w:rFonts w:ascii="Verdana" w:hAnsi="Verdana"/>
          <w:color w:val="000000"/>
          <w:sz w:val="18"/>
          <w:szCs w:val="18"/>
        </w:rPr>
        <w:t>, H.A. Галагана, В.З. Гущина, И.В.</w:t>
      </w:r>
      <w:r>
        <w:rPr>
          <w:rStyle w:val="WW8Num3z0"/>
          <w:rFonts w:ascii="Verdana" w:hAnsi="Verdana"/>
          <w:color w:val="000000"/>
          <w:sz w:val="18"/>
          <w:szCs w:val="18"/>
        </w:rPr>
        <w:t> </w:t>
      </w:r>
      <w:r>
        <w:rPr>
          <w:rStyle w:val="WW8Num4z0"/>
          <w:rFonts w:ascii="Verdana" w:hAnsi="Verdana"/>
          <w:color w:val="4682B4"/>
          <w:sz w:val="18"/>
          <w:szCs w:val="18"/>
        </w:rPr>
        <w:t>Гончарова</w:t>
      </w:r>
      <w:r>
        <w:rPr>
          <w:rFonts w:ascii="Verdana" w:hAnsi="Verdana"/>
          <w:color w:val="000000"/>
          <w:sz w:val="18"/>
          <w:szCs w:val="18"/>
        </w:rPr>
        <w:t>, А.Г. Гладышева, Ю.А. Денисова, Ю.П.</w:t>
      </w:r>
      <w:r>
        <w:rPr>
          <w:rStyle w:val="WW8Num3z0"/>
          <w:rFonts w:ascii="Verdana" w:hAnsi="Verdana"/>
          <w:color w:val="000000"/>
          <w:sz w:val="18"/>
          <w:szCs w:val="18"/>
        </w:rPr>
        <w:t> </w:t>
      </w:r>
      <w:r>
        <w:rPr>
          <w:rStyle w:val="WW8Num4z0"/>
          <w:rFonts w:ascii="Verdana" w:hAnsi="Verdana"/>
          <w:color w:val="4682B4"/>
          <w:sz w:val="18"/>
          <w:szCs w:val="18"/>
        </w:rPr>
        <w:t>Еременко</w:t>
      </w:r>
      <w:r>
        <w:rPr>
          <w:rFonts w:ascii="Verdana" w:hAnsi="Verdana"/>
          <w:color w:val="000000"/>
          <w:sz w:val="18"/>
          <w:szCs w:val="18"/>
        </w:rPr>
        <w:t>, Т.Д. Зражевской,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Д.А. Керимова, АД. Керимова, РЖ Косолапова,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Н.М. Колосовой, Е.И. Козловой, H.H.</w:t>
      </w:r>
      <w:r>
        <w:rPr>
          <w:rStyle w:val="WW8Num3z0"/>
          <w:rFonts w:ascii="Verdana" w:hAnsi="Verdana"/>
          <w:color w:val="000000"/>
          <w:sz w:val="18"/>
          <w:szCs w:val="18"/>
        </w:rPr>
        <w:t> </w:t>
      </w:r>
      <w:r>
        <w:rPr>
          <w:rStyle w:val="WW8Num4z0"/>
          <w:rFonts w:ascii="Verdana" w:hAnsi="Verdana"/>
          <w:color w:val="4682B4"/>
          <w:sz w:val="18"/>
          <w:szCs w:val="18"/>
        </w:rPr>
        <w:t>Куксина</w:t>
      </w:r>
      <w:r>
        <w:rPr>
          <w:rFonts w:ascii="Verdana" w:hAnsi="Verdana"/>
          <w:color w:val="000000"/>
          <w:sz w:val="18"/>
          <w:szCs w:val="18"/>
        </w:rPr>
        <w:t>, O.E. Кутафина, Б.М. Лазарева,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О.Э. Лейста, В.О. Лучина,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Г.В. Мальцева, Н.В. Мамитовой,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Б.Л. Назарова, А.И. Петелина, Т.Н.</w:t>
      </w:r>
      <w:r>
        <w:rPr>
          <w:rStyle w:val="WW8Num3z0"/>
          <w:rFonts w:ascii="Verdana" w:hAnsi="Verdana"/>
          <w:color w:val="000000"/>
          <w:sz w:val="18"/>
          <w:szCs w:val="18"/>
        </w:rPr>
        <w:t> </w:t>
      </w:r>
      <w:r>
        <w:rPr>
          <w:rStyle w:val="WW8Num4z0"/>
          <w:rFonts w:ascii="Verdana" w:hAnsi="Verdana"/>
          <w:color w:val="4682B4"/>
          <w:sz w:val="18"/>
          <w:szCs w:val="18"/>
        </w:rPr>
        <w:t>Радъко</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Ф.М.</w:t>
      </w:r>
      <w:r>
        <w:rPr>
          <w:rStyle w:val="WW8Num3z0"/>
          <w:rFonts w:ascii="Verdana" w:hAnsi="Verdana"/>
          <w:color w:val="000000"/>
          <w:sz w:val="18"/>
          <w:szCs w:val="18"/>
        </w:rPr>
        <w:t> </w:t>
      </w:r>
      <w:r>
        <w:rPr>
          <w:rStyle w:val="WW8Num4z0"/>
          <w:rFonts w:ascii="Verdana" w:hAnsi="Verdana"/>
          <w:color w:val="4682B4"/>
          <w:sz w:val="18"/>
          <w:szCs w:val="18"/>
        </w:rPr>
        <w:t>Рудницкого</w:t>
      </w:r>
      <w:r>
        <w:rPr>
          <w:rFonts w:ascii="Verdana" w:hAnsi="Verdana"/>
          <w:color w:val="000000"/>
          <w:sz w:val="18"/>
          <w:szCs w:val="18"/>
        </w:rPr>
        <w:t>, И.С. Самощенко, Б.А. Страшуна,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Е.А. Суханова, Ю.К. Толстого,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М.Х. Фарукшина, М.Д. Шарго-родского, М.Д.</w:t>
      </w:r>
      <w:r>
        <w:rPr>
          <w:rStyle w:val="WW8Num3z0"/>
          <w:rFonts w:ascii="Verdana" w:hAnsi="Verdana"/>
          <w:color w:val="000000"/>
          <w:sz w:val="18"/>
          <w:szCs w:val="18"/>
        </w:rPr>
        <w:t> </w:t>
      </w:r>
      <w:r>
        <w:rPr>
          <w:rStyle w:val="WW8Num4z0"/>
          <w:rFonts w:ascii="Verdana" w:hAnsi="Verdana"/>
          <w:color w:val="4682B4"/>
          <w:sz w:val="18"/>
          <w:szCs w:val="18"/>
        </w:rPr>
        <w:t>Шиндяпиной</w:t>
      </w:r>
      <w:r>
        <w:rPr>
          <w:rFonts w:ascii="Verdana" w:hAnsi="Verdana"/>
          <w:color w:val="000000"/>
          <w:sz w:val="18"/>
          <w:szCs w:val="18"/>
        </w:rPr>
        <w:t>, А.И. Щербака, А.И. Экгшова,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Европейская Хартия местного самоуправления,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и законы субъектов Российской Федерации, уставы муниципальных образований, а также иные муниципальные правовые акты.</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аналитические материалы и экспертные заключения органов власти, статистические данные.</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научным исследованием, специально посвященным проблеме конституционно-правового принуждения в сфере местного самоуправления и его роли в обеспечении законности деятельности субъектов, осуществляющих муниципальную власть, подготовленном на основе новейшего материала, собранного в ходе реализации муниципальной реформы.</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Предпринятый в данном исследовании комплексный анализ института конституционно-правового принуждения в механизме обеспечения законности деятельности органов и должностных лиц местного самоуправления осуществлен впервые. Ранее в такой постановке вопросы обеспечения законности деятельности указанных субъектов и правового принуждения в сфере местного самоуправления не ставились.</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разработана теоретическая модель механизма обеспечения законности деятельности органов и должностных лиц местного самоуправления и определены место и роль конституционно-правового принуждения в этом механизме;</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устойчивые тенденции в развитии института конституционно-правового принуждения в сфере местного самоуправления в Российской Федерации;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впервые проведена дифференциация мер конституционно-правового принуждения, применяемых к органам и должностным лицам местного самоуправления, на меры ответственности и меры защиты;</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новейшего нормативного материала дана характеристика содержанию института конституционно-правового принуждения, применяемого к органам и должностным лицам местного самоуправления в Российской Федерации, выявлены</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в правовом регулировании соответствующих общественных отношений;</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впервые подвергнут научному осмыслению новый для российской правовой действительности институт — удаление главы муниципального образования в отставку;</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обобщена практика применения института конституционно-правового принуждения к органам и должностным лицам местного самоуправления в ходе проведения муниципальной реформы в Российской Федерации;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подготовлены» предложения по совершенствованию правового регулирования общественных отношений, связанных с применением указанных мер.</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Механизм обеспечения законности деятельности органов и должностных лиц местного самоуправления представляет собой систему взаимодействующих и взаимодополняющих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 xml:space="preserve">институтов, средств и условий, созданных государством и обществом*, обеспечивающих подержание, охрану и защиту режима законности в процессе </w:t>
      </w:r>
      <w:r>
        <w:rPr>
          <w:rFonts w:ascii="Verdana" w:hAnsi="Verdana"/>
          <w:color w:val="000000"/>
          <w:sz w:val="18"/>
          <w:szCs w:val="18"/>
        </w:rPr>
        <w:lastRenderedPageBreak/>
        <w:t>реализации этими субъектами собственной компетенции и осуществления переданных им отдельных государственных полномочий.</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Структуру данного механизма образуют следующие элементы: условия существования местного самоуправления и режима законности в стране; нормативный, организационно-институциональный, функциональный и инструментальный компоненты;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(процедуры) охраны и защиты режима законности в деятельности этих субъектов.</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Конституционно-правовое принуждение - это институт, составляющий в совокупности с другими юридическими средствами «</w:t>
      </w:r>
      <w:r>
        <w:rPr>
          <w:rStyle w:val="WW8Num4z0"/>
          <w:rFonts w:ascii="Verdana" w:hAnsi="Verdana"/>
          <w:color w:val="4682B4"/>
          <w:sz w:val="18"/>
          <w:szCs w:val="18"/>
        </w:rPr>
        <w:t>инструментальный компонент</w:t>
      </w:r>
      <w:r>
        <w:rPr>
          <w:rFonts w:ascii="Verdana" w:hAnsi="Verdana"/>
          <w:color w:val="000000"/>
          <w:sz w:val="18"/>
          <w:szCs w:val="18"/>
        </w:rPr>
        <w:t>» механизма обеспечения законности деятельности органов и должностных лиц местного самоуправления. Находясь в тесной взаимосвязи и взаимодействии с другими видами правового принуждения, он призван обеспечить реализацию основной функции данного механизма - охрану и защиту режима законности деятельности указанных субъектов.</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развитии института конституционно-правового принуждения, применяемого к органам и должностным лицам местного самоуправления, на современном этапе отчетливо прослеживаются следующие тенденции: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усложнение структуры и системы данного института;</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увеличение объема федерального регулирования общественных отношений, связанных с его применением;</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пределов и форм государственного вмешательства в деятельность органов местного самоуправления;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усложнение механизмов ответственности органов и должностных лиц местного самоуправления перед населением и упрощение правовой формы ответственности данных субъектов перед государством;</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ограничение возможности использования форм непосредственной демократии и привлечения органов и должностных лиц местного самоуправления к ответственности перед населением;</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федеральным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 нормотворческими органами муниципальных образований правовых средств, неадекватных целям конституционно-правового принуждения, применяемого в сфере местного самоуправления.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Меры конституционно-правового принуждения, применяемые к органам и должностным лицам местного самоуправления, по своей природе и содержанию не однородны. В их системе, наряду с мерами</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ответственности можно обнаружить меры конституционно-правовой защиты, которые в теории конституционного и муниципального права ошибочно «</w:t>
      </w:r>
      <w:r>
        <w:rPr>
          <w:rStyle w:val="WW8Num4z0"/>
          <w:rFonts w:ascii="Verdana" w:hAnsi="Verdana"/>
          <w:color w:val="4682B4"/>
          <w:sz w:val="18"/>
          <w:szCs w:val="18"/>
        </w:rPr>
        <w:t>квалифицируются</w:t>
      </w:r>
      <w:r>
        <w:rPr>
          <w:rFonts w:ascii="Verdana" w:hAnsi="Verdana"/>
          <w:color w:val="000000"/>
          <w:sz w:val="18"/>
          <w:szCs w:val="18"/>
        </w:rPr>
        <w:t>» как меры ответственности. К ним относятся: отмена муниципального правового акта; признание его</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отмена юридически значимого результата; временное осуществление полномочий органов местного самоуправления органами государственной власти; отзыв переданных отдельных государственных полномочий.</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Содержание правового регулирования общественных отношений, связанных с применением новой, для российского законодательства меры конституционно-правовой ответственности «</w:t>
      </w:r>
      <w:r>
        <w:rPr>
          <w:rStyle w:val="WW8Num4z0"/>
          <w:rFonts w:ascii="Verdana" w:hAnsi="Verdana"/>
          <w:color w:val="4682B4"/>
          <w:sz w:val="18"/>
          <w:szCs w:val="18"/>
        </w:rPr>
        <w:t>удаления главы муниципального образования в отставку</w:t>
      </w:r>
      <w:r>
        <w:rPr>
          <w:rFonts w:ascii="Verdana" w:hAnsi="Verdana"/>
          <w:color w:val="000000"/>
          <w:sz w:val="18"/>
          <w:szCs w:val="18"/>
        </w:rPr>
        <w:t>», нарушает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самостоятельности местного самоуправления, расширяет пределы, государственного вмешательства .в его дела, создает предпосылки для нарушения стабильности' функционирования: органов' власти в муниципальном образовании: Для преодоления указанных негативных явлений следует отнести регулирование соответствующих общественных отношений к предметам ведения муниципальных; образований, сохранив в федеральном законе от 6 окгября 2003 г. № 131-ФЗ лишь</w:t>
      </w:r>
      <w:r>
        <w:rPr>
          <w:rStyle w:val="WW8Num3z0"/>
          <w:rFonts w:ascii="Verdana" w:hAnsi="Verdana"/>
          <w:color w:val="000000"/>
          <w:sz w:val="18"/>
          <w:szCs w:val="18"/>
        </w:rPr>
        <w:t> </w:t>
      </w:r>
      <w:r>
        <w:rPr>
          <w:rStyle w:val="WW8Num4z0"/>
          <w:rFonts w:ascii="Verdana" w:hAnsi="Verdana"/>
          <w:color w:val="4682B4"/>
          <w:sz w:val="18"/>
          <w:szCs w:val="18"/>
        </w:rPr>
        <w:t>диспозитивную</w:t>
      </w:r>
      <w:r>
        <w:rPr>
          <w:rStyle w:val="WW8Num3z0"/>
          <w:rFonts w:ascii="Verdana" w:hAnsi="Verdana"/>
          <w:color w:val="000000"/>
          <w:sz w:val="18"/>
          <w:szCs w:val="18"/>
        </w:rPr>
        <w:t> </w:t>
      </w:r>
      <w:r>
        <w:rPr>
          <w:rFonts w:ascii="Verdana" w:hAnsi="Verdana"/>
          <w:color w:val="000000"/>
          <w:sz w:val="18"/>
          <w:szCs w:val="18"/>
        </w:rPr>
        <w:t>норму о возможности закрепления данной меры в-уставе муниципального образования.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Вщелях совершенствования правового регулирования общественных отношений, связанных с применением к органам и должностным лицам местного самоуправления; конституционно-правового принуждения, представляется необходимым внесение в Федеральный закон от 6 октября 2003 г. № 131-ФЗ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»1 (далее - Закон от 6 октября 2003 г.) изменений и дополнений в виде:.</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закрепления м качестве основания5роспуска представительного органа муниципального образования;</w:t>
      </w:r>
      <w:r>
        <w:rPr>
          <w:rStyle w:val="WW8Num3z0"/>
          <w:rFonts w:ascii="Verdana" w:hAnsi="Verdana"/>
          <w:color w:val="000000"/>
          <w:sz w:val="18"/>
          <w:szCs w:val="18"/>
        </w:rPr>
        <w:t> </w:t>
      </w:r>
      <w:r>
        <w:rPr>
          <w:rStyle w:val="WW8Num4z0"/>
          <w:rFonts w:ascii="Verdana" w:hAnsi="Verdana"/>
          <w:color w:val="4682B4"/>
          <w:sz w:val="18"/>
          <w:szCs w:val="18"/>
        </w:rPr>
        <w:t>отрешения</w:t>
      </w:r>
      <w:r>
        <w:rPr>
          <w:rFonts w:ascii="Verdana" w:hAnsi="Verdana"/>
          <w:color w:val="000000"/>
          <w:sz w:val="18"/>
          <w:szCs w:val="18"/>
        </w:rPr>
        <w:t>: от должности, главы муниципаль</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СЗ РФ. 2003. № 40. Ст. 3822. ного образования, главы местной администрации материального состава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расширения его объективной стороны;</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устранения факультативного характера применения этих мер конституционно-правового принуждения, обеспечив тем самым неизбежность их</w:t>
      </w:r>
      <w:r>
        <w:rPr>
          <w:rStyle w:val="WW8Num3z0"/>
          <w:rFonts w:ascii="Verdana" w:hAnsi="Verdana"/>
          <w:color w:val="000000"/>
          <w:sz w:val="18"/>
          <w:szCs w:val="18"/>
        </w:rPr>
        <w:t> </w:t>
      </w:r>
      <w:r>
        <w:rPr>
          <w:rStyle w:val="WW8Num4z0"/>
          <w:rFonts w:ascii="Verdana" w:hAnsi="Verdana"/>
          <w:color w:val="4682B4"/>
          <w:sz w:val="18"/>
          <w:szCs w:val="18"/>
        </w:rPr>
        <w:t>претерпевания</w:t>
      </w:r>
      <w:r>
        <w:rPr>
          <w:rStyle w:val="WW8Num3z0"/>
          <w:rFonts w:ascii="Verdana" w:hAnsi="Verdana"/>
          <w:color w:val="000000"/>
          <w:sz w:val="18"/>
          <w:szCs w:val="18"/>
        </w:rPr>
        <w:t> </w:t>
      </w:r>
      <w:r>
        <w:rPr>
          <w:rFonts w:ascii="Verdana" w:hAnsi="Verdana"/>
          <w:color w:val="000000"/>
          <w:sz w:val="18"/>
          <w:szCs w:val="18"/>
        </w:rPr>
        <w:t>соответствующими субъектами при наличии установленных законом оснований;</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приведения в соответствие с нормами Закона Российской Федерации от 27 апреля 1993 г. № 4866-1 (ред. от 14 декабря 1995 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граждан»1 и Федерального закона от 2 мая 2006 г. №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положений Закона от 6 октября 2003 г., устанавливающих порядок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роспуска представительного органа местного самоуправления, отрешения главы муниципального образования от должности в части, касающейся сроков обращения в суд и порядка их исчисления;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исключения из Главы 10 Закона от 6 октября 2003 г. «Ответственность органов местного самоуправления и должностных лиц. местного самоуправления,,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их деятельностью» ст. 75 «Временное осуществление органами, государственной власти отдельных, полномочий органов местного самоуправления», сохранив ее. в тексте закона в виде отдельной главы;</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уточнения основания отзыва переданных органам местного самоуправления отдельных государственных полномочий в случае нецелевого использования бюджетных средств, включение суда в механизм установления фактических оснований для применения данной меры конституционно-правового принуждения;,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19.Ст. 685; СЗ РФ. 1995. № 51. Ст. 4970.</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СЗ'РФ. 2006. № 19. Ст. 2060.</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отнесения регулирования общественных отношений, связанных с удалением главы муниципального образования в отставку, к компетенции муниципальных образований.</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обеспечения эффективного функционирования института конституционно-правового принуждения в сфере местного самоуправления актуальной является задача совершенствования практики его применения. Анализ соответствующей практики показал, что данный институт нередко используется вопреки его цели, а применение его норм приводит к нарушению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жителей муниципального образования. В ряде случаев отдельные меры конституционно-правового принуждения применяются с грубыми нарушениями, установленных процедур и используются для фактического нелегитимного захвата власти в муниципальных образованиях, что создает угрозу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строю и режиму законности в Российской Федерации.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В диссертации решена научная задача, состоящая в подготовке научно: обоснованных предложений; по преодолению существующего противоречия содержания правового регулирования общественных отношений, составивших объект исследования, и объективными потребностями, а также тенденциями государственной ¡и общественной практики в данной сфере.</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ориентирована на дальнейшую разработку проблемы правового принуждения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муниципальном праве, использование ее результатов в научных исследованиях, проводимых в этих отраслях научного. знания.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основные результаты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практике, как на уровне Российской Федерации, так и ее субъектов, а, также в учебном процессе в вузах для преподавания учебных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Муниципальное право</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Теории государства и права и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Оренбургский государственный университет</w:t>
      </w:r>
      <w:r>
        <w:rPr>
          <w:rFonts w:ascii="Verdana" w:hAnsi="Verdana"/>
          <w:color w:val="000000"/>
          <w:sz w:val="18"/>
          <w:szCs w:val="18"/>
        </w:rPr>
        <w:t xml:space="preserve">», где были проведены ее рецензирование и обсуждение. Материалы исследования нашли отражение в научных публикациях автора, излагались в научных докладах на заседаниях </w:t>
      </w:r>
      <w:r>
        <w:rPr>
          <w:rFonts w:ascii="Verdana" w:hAnsi="Verdana"/>
          <w:color w:val="000000"/>
          <w:sz w:val="18"/>
          <w:szCs w:val="18"/>
        </w:rPr>
        <w:lastRenderedPageBreak/>
        <w:t>кафедры, научно-практических конференциях, а также в учебном процессе в преподавании дисциплин Конституционное право и Муниципальное право.</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диссертанта нашли практическое применение в практической деятельности органов государственной власти при разработке проектов</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Софиевский сельсовет Поно-маревского района Оренбургской области.</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определены целью и задачами исследования. Диссертация состоит из введения, трех глав, включающих восемь параграфов, заключения и списка использованных нормативных правовых актов, материалов судебной практики и литературы.</w:t>
      </w:r>
    </w:p>
    <w:p w:rsidR="00F30FCD" w:rsidRDefault="00F30FCD" w:rsidP="00F30FC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Давыдова, Наталья Юрьевна</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диссертанту сделать выводы, которые отражают его результаты и вместе с тем ориентируют на дальнейшую научную разработку данной проблематики.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образует взаимодействие систем</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законности и гарантий права на осуществление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Диссертант определяет его как систему взаимодействующих и взаимодополняющих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институтов, средств и условий, созданных государством и обществом, обеспечивающих подержание, охрану и защиту режима законности в процессе реализации органами местного самоуправления собственной компетенции и осуществлении переданных им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Структуру этого механизма образуют следующие элементы:</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условия существования местного самоуправления и режима законности в стране;</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нормативно-правовая основа обеспечения законности деятельности органов и должностных лиц местного самоуправления («</w:t>
      </w:r>
      <w:r>
        <w:rPr>
          <w:rStyle w:val="WW8Num4z0"/>
          <w:rFonts w:ascii="Verdana" w:hAnsi="Verdana"/>
          <w:color w:val="4682B4"/>
          <w:sz w:val="18"/>
          <w:szCs w:val="18"/>
        </w:rPr>
        <w:t>нормативный компонент</w:t>
      </w:r>
      <w:r>
        <w:rPr>
          <w:rFonts w:ascii="Verdana" w:hAnsi="Verdana"/>
          <w:color w:val="000000"/>
          <w:sz w:val="18"/>
          <w:szCs w:val="18"/>
        </w:rPr>
        <w:t>»);</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система публичных органов и институтов, деятельность которых направлена на обеспечение законности деятельности данных субъектов («организационно-институциональный компонент»);</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деятельность этих органов и институтов по реализации их функции и полномочий по выявлению фактов нарушений режима законности в деятельности органов и должностных лиц местного самоуправления, восстановлению нарушенного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применению государственно-правового принуждения к</w:t>
      </w:r>
      <w:r>
        <w:rPr>
          <w:rStyle w:val="WW8Num3z0"/>
          <w:rFonts w:ascii="Verdana" w:hAnsi="Verdana"/>
          <w:color w:val="000000"/>
          <w:sz w:val="18"/>
          <w:szCs w:val="18"/>
        </w:rPr>
        <w:t> </w:t>
      </w:r>
      <w:r>
        <w:rPr>
          <w:rStyle w:val="WW8Num4z0"/>
          <w:rFonts w:ascii="Verdana" w:hAnsi="Verdana"/>
          <w:color w:val="4682B4"/>
          <w:sz w:val="18"/>
          <w:szCs w:val="18"/>
        </w:rPr>
        <w:t>правонарушителям</w:t>
      </w:r>
      <w:r>
        <w:rPr>
          <w:rStyle w:val="WW8Num3z0"/>
          <w:rFonts w:ascii="Verdana" w:hAnsi="Verdana"/>
          <w:color w:val="000000"/>
          <w:sz w:val="18"/>
          <w:szCs w:val="18"/>
        </w:rPr>
        <w:t> </w:t>
      </w:r>
      <w:r>
        <w:rPr>
          <w:rFonts w:ascii="Verdana" w:hAnsi="Verdana"/>
          <w:color w:val="000000"/>
          <w:sz w:val="18"/>
          <w:szCs w:val="18"/>
        </w:rPr>
        <w:t>и др. («</w:t>
      </w:r>
      <w:r>
        <w:rPr>
          <w:rStyle w:val="WW8Num4z0"/>
          <w:rFonts w:ascii="Verdana" w:hAnsi="Verdana"/>
          <w:color w:val="4682B4"/>
          <w:sz w:val="18"/>
          <w:szCs w:val="18"/>
        </w:rPr>
        <w:t>функциональный компонент</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юридические средства обеспечения режима законности в деятельности упомянутых субъектов, его охраны и защиты от нарушений, включая меры поощрения и стимулирования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и инициативной реализации предоставленных им прав, меры 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(меры надзора и контроля за правомерностью деятельности данных органов, меры</w:t>
      </w:r>
      <w:r>
        <w:rPr>
          <w:rStyle w:val="WW8Num4z0"/>
          <w:rFonts w:ascii="Verdana" w:hAnsi="Verdana"/>
          <w:color w:val="4682B4"/>
          <w:sz w:val="18"/>
          <w:szCs w:val="18"/>
        </w:rPr>
        <w:t>пресечения</w:t>
      </w:r>
      <w:r>
        <w:rPr>
          <w:rFonts w:ascii="Verdana" w:hAnsi="Verdana"/>
          <w:color w:val="000000"/>
          <w:sz w:val="18"/>
          <w:szCs w:val="18"/>
        </w:rPr>
        <w:t>, защиты и ответственности), самостоятельную деятельность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(меры самозащиты) - отзыв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обращение за государственной защитой права, в том числе обращение в суд, обращение в органы местного самоуправления, использование массовых гражданских акций (митинги, демонстрации и т. д.) и механизмы гражданского общества (обращение в неправительственные, общественные организации, средства массовой информации и т. д.) - «</w:t>
      </w:r>
      <w:r>
        <w:rPr>
          <w:rStyle w:val="WW8Num4z0"/>
          <w:rFonts w:ascii="Verdana" w:hAnsi="Verdana"/>
          <w:color w:val="4682B4"/>
          <w:sz w:val="18"/>
          <w:szCs w:val="18"/>
        </w:rPr>
        <w:t>инструментальный компонент</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(процедуры) охраны и защиты режима законности.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 это институт, составляющий в совокупности с другими юридическими средствами «</w:t>
      </w:r>
      <w:r>
        <w:rPr>
          <w:rStyle w:val="WW8Num4z0"/>
          <w:rFonts w:ascii="Verdana" w:hAnsi="Verdana"/>
          <w:color w:val="4682B4"/>
          <w:sz w:val="18"/>
          <w:szCs w:val="18"/>
        </w:rPr>
        <w:t>инструментальный компонент</w:t>
      </w:r>
      <w:r>
        <w:rPr>
          <w:rFonts w:ascii="Verdana" w:hAnsi="Verdana"/>
          <w:color w:val="000000"/>
          <w:sz w:val="18"/>
          <w:szCs w:val="18"/>
        </w:rPr>
        <w:t>» механизма обеспечения законности деятельности органов и должностных лиц местного самоуправления. Находясь в тесной взаимосвязи и взаимодействии с другими видами правового принуждения, он призван обеспечить реализацию основной функции данного механизма - охрану и защиту режима законности деятельности указанных субъектов.</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РФ, как и любая другая отрасль права, предусматривает возможность государственного принуждения (угрозы его применения), которая связана с реализацией собственных отраслевых мер воздействия - мер конституционно-правового принуждения. В работе</w:t>
      </w:r>
      <w:r>
        <w:rPr>
          <w:rStyle w:val="WW8Num3z0"/>
          <w:rFonts w:ascii="Verdana" w:hAnsi="Verdana"/>
          <w:color w:val="000000"/>
          <w:sz w:val="18"/>
          <w:szCs w:val="18"/>
        </w:rPr>
        <w:t> </w:t>
      </w:r>
      <w:r>
        <w:rPr>
          <w:rStyle w:val="WW8Num4z0"/>
          <w:rFonts w:ascii="Verdana" w:hAnsi="Verdana"/>
          <w:color w:val="4682B4"/>
          <w:sz w:val="18"/>
          <w:szCs w:val="18"/>
        </w:rPr>
        <w:t>оспорено</w:t>
      </w:r>
      <w:r>
        <w:rPr>
          <w:rStyle w:val="WW8Num3z0"/>
          <w:rFonts w:ascii="Verdana" w:hAnsi="Verdana"/>
          <w:color w:val="000000"/>
          <w:sz w:val="18"/>
          <w:szCs w:val="18"/>
        </w:rPr>
        <w:t> </w:t>
      </w:r>
      <w:r>
        <w:rPr>
          <w:rFonts w:ascii="Verdana" w:hAnsi="Verdana"/>
          <w:color w:val="000000"/>
          <w:sz w:val="18"/>
          <w:szCs w:val="18"/>
        </w:rPr>
        <w:t>сложившееся в правовой науке мнение об однородности всех мер конституционно-правового принуждения (всех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xml:space="preserve">) и их тождестве с мерами </w:t>
      </w:r>
      <w:r>
        <w:rPr>
          <w:rFonts w:ascii="Verdana" w:hAnsi="Verdana"/>
          <w:color w:val="000000"/>
          <w:sz w:val="18"/>
          <w:szCs w:val="18"/>
        </w:rPr>
        <w:lastRenderedPageBreak/>
        <w:t>(</w:t>
      </w:r>
      <w:r>
        <w:rPr>
          <w:rStyle w:val="WW8Num4z0"/>
          <w:rFonts w:ascii="Verdana" w:hAnsi="Verdana"/>
          <w:color w:val="4682B4"/>
          <w:sz w:val="18"/>
          <w:szCs w:val="18"/>
        </w:rPr>
        <w:t>санкциями</w:t>
      </w:r>
      <w:r>
        <w:rPr>
          <w:rFonts w:ascii="Verdana" w:hAnsi="Verdana"/>
          <w:color w:val="000000"/>
          <w:sz w:val="18"/>
          <w:szCs w:val="18"/>
        </w:rPr>
        <w:t>) конституционно-правовой ответственности. Меры конституционно-правового принуждения дифференцированы на: меры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меры конституционно-правового пресечения; восстановительные меры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защиты); меры (санкции) конституционно-правовой ответственности.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изучения сущности отмены муниципального правового акта как самостоятельного правового явления, на основе критического анализа существующих научных взглядов на данную проблему и предложенных ее решений, а также современной правовой практики, диссертантом сделан и аргументирован вывод, что отмена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муниципального правового акта должна быть «</w:t>
      </w:r>
      <w:r>
        <w:rPr>
          <w:rStyle w:val="WW8Num4z0"/>
          <w:rFonts w:ascii="Verdana" w:hAnsi="Verdana"/>
          <w:color w:val="4682B4"/>
          <w:sz w:val="18"/>
          <w:szCs w:val="18"/>
        </w:rPr>
        <w:t>квалифицирована</w:t>
      </w:r>
      <w:r>
        <w:rPr>
          <w:rFonts w:ascii="Verdana" w:hAnsi="Verdana"/>
          <w:color w:val="000000"/>
          <w:sz w:val="18"/>
          <w:szCs w:val="18"/>
        </w:rPr>
        <w:t>» как мера конституционно-правовой защиты. Она не носит персонифицированной направленности и применяется для восстановления единства правового пространства. Ее особенность состоит в том, что она применяется к объектам правовой действительности, представляющим собой правовые акты-документы, функционирующие самостоятельно в правовом поле и опосредующие волю носителей соответствующих властных функций. С этой точки зрения есть основания более широко трактовать и понимать государственное принуждение. Принуждающее воздействие может оказываться не только на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но и на отражающие их волю правовые акты.</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в механизме применения данной меры принуждения имеет институт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обжалования соответствующих актов. В диссертации выявлены и проанализированы существующие процессуальные проблемы их</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обосновал точку зрения о необходимости различать отмену нормативного правового акта и его</w:t>
      </w:r>
      <w:r>
        <w:rPr>
          <w:rStyle w:val="WW8Num3z0"/>
          <w:rFonts w:ascii="Verdana" w:hAnsi="Verdana"/>
          <w:color w:val="000000"/>
          <w:sz w:val="18"/>
          <w:szCs w:val="18"/>
        </w:rPr>
        <w:t> </w:t>
      </w:r>
      <w:r>
        <w:rPr>
          <w:rStyle w:val="WW8Num4z0"/>
          <w:rFonts w:ascii="Verdana" w:hAnsi="Verdana"/>
          <w:color w:val="4682B4"/>
          <w:sz w:val="18"/>
          <w:szCs w:val="18"/>
        </w:rPr>
        <w:t>аннулирование</w:t>
      </w:r>
      <w:r>
        <w:rPr>
          <w:rFonts w:ascii="Verdana" w:hAnsi="Verdana"/>
          <w:color w:val="000000"/>
          <w:sz w:val="18"/>
          <w:szCs w:val="18"/>
        </w:rPr>
        <w:t>. Необходимость последнего диктуется обязанностью государства в лице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восстанавливать нарушенные права. Только аннулирование незаконного нормативного акта влечет полное восстановление нарушенных прав граждан, создает возможность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к органам местного самоуправления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материального ущерба. В отличие от отмены акта органом, его издавшим, данный институт позволяет признать такой нормативный правовой акт не действующим со дня его принятия, т.е., по сути, аннулировать его. Вместе с тем наличие процедуры, позволяющей определить</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актов, издаваемых органами местного самоуправления, независимо от их последующей отмены, может иметь определенное значение для регулирования и применения к этим органам мер конституционно-правовой ответственности.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весьма спорных проблем в вопросе о признании акта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является процедура исполнения судебного решения по данному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Диссертант считает, что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признании нормативного правового акта незаконным не должно быть</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как такового.</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важную роль в защите публичных и частных интересов в муниципальных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имеют проблемы судебного оспаривания законности индивидуальных правовых актов органов и должностных лиц местного самоуправления. На основании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автором сделан вывод, что существующий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порядок далеко не всегда способствует защите интересов граждан и их объединений.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отмена индивидуального правового акта органа или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 по обращению</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нередко причиняет вред правам 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конкретных граждан и их объединений. Этот результат противоречит цели главы 25</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РФ, главным назначением которой является защита интересов граждан и их объединений, нарушенных индивидуальными актами органов и должностных лиц местного самоуправления.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Отмена (признание</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юридически значимого результата применяется в виде признания выборов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отмены результатов выборов, итогов</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на референдуме. Анализируя содержание этих институтов и практику их реализации, обоснован вывод о природе данных мер как мер конституционно-правовой защиты.</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полномочий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власти другого уровня (осуществление полномочий органов государственной власти субъектов федерации федеральными органами и осуществление полномочий органов местного самоуправления органами государственной власти) </w:t>
      </w:r>
      <w:r>
        <w:rPr>
          <w:rFonts w:ascii="Verdana" w:hAnsi="Verdana"/>
          <w:color w:val="000000"/>
          <w:sz w:val="18"/>
          <w:szCs w:val="18"/>
        </w:rPr>
        <w:lastRenderedPageBreak/>
        <w:t>распространено в мире как значимый институт повышения эффективности осуществления государственной власти.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Российское законодательство так же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этот институт. Указанная мера может применяться как федеральными органами государственной власти в отношении органов государственной власти субъектов РФ, так и последними в отношении органов местного самоуправления. Несмотря на это, вопрос о природе данной меры в правовой науке однозначно не решен.</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диссертантом обоснован вывод, что временное осуществление органами государственной власти отдельных полномочий органов местного самоуправления по своей природе не является мерой юридической ответственности, а представляет собой меру защиты. Принимая это во внимание автор считает целесообразности исключить из Главы 10 «Ответственность органов местного самоуправления и должностных лиц местного самоуправления,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их деятельностью» Закона от 6 октября 2003 г. ст. 75 «Временное осуществление органами государственной власти отдельных полномочий органов местного самоуправления» и придания ей «</w:t>
      </w:r>
      <w:r>
        <w:rPr>
          <w:rStyle w:val="WW8Num4z0"/>
          <w:rFonts w:ascii="Verdana" w:hAnsi="Verdana"/>
          <w:color w:val="4682B4"/>
          <w:sz w:val="18"/>
          <w:szCs w:val="18"/>
        </w:rPr>
        <w:t>статус</w:t>
      </w:r>
      <w:r>
        <w:rPr>
          <w:rFonts w:ascii="Verdana" w:hAnsi="Verdana"/>
          <w:color w:val="000000"/>
          <w:sz w:val="18"/>
          <w:szCs w:val="18"/>
        </w:rPr>
        <w:t>» автономной главы того же Закона.</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Процедура применения данной меры конституционно-правового принуждения требует дальнейшей детализации в части установления критериев определения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субъекта РФ «вины» органов местного самоуправления в возникновении задолженности бюджета муниципального образования, а также уточнения основания</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соответствующих полномочий в случае нецелевого использования бюджетных средств.</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Отзыв переданных отдельных государственных полномочий, по своей природе, также является мерой конституционно-правовой защиты. В диссертации обоснован вывод о необходимости применение судебного порядка установления фактов</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осуществления органами местного самоуправления отдельных государственных полномочий во всех случаях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ими правонарушений,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этих полномочий, включая их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Fonts w:ascii="Verdana" w:hAnsi="Verdana"/>
          <w:color w:val="000000"/>
          <w:sz w:val="18"/>
          <w:szCs w:val="18"/>
        </w:rPr>
        <w:t>.</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Отзыв</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выборных, должностных лиц местного самоуправления как мера конституционно-правовой ответственности обладает значительным потенциалом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обеспечения законности деятельности упомянутых лиц и должен быть предусмотрен в законодательстве всех субъектов РФ.</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нормативно-правовой основы отзыва и практики реализации данного института показало, что в настоящее время реализация отзыва</w:t>
      </w:r>
      <w:r>
        <w:rPr>
          <w:rStyle w:val="WW8Num3z0"/>
          <w:rFonts w:ascii="Verdana" w:hAnsi="Verdana"/>
          <w:color w:val="000000"/>
          <w:sz w:val="18"/>
          <w:szCs w:val="18"/>
        </w:rPr>
        <w:t> </w:t>
      </w:r>
      <w:r>
        <w:rPr>
          <w:rStyle w:val="WW8Num4z0"/>
          <w:rFonts w:ascii="Verdana" w:hAnsi="Verdana"/>
          <w:color w:val="4682B4"/>
          <w:sz w:val="18"/>
          <w:szCs w:val="18"/>
        </w:rPr>
        <w:t>депутата</w:t>
      </w:r>
      <w:r>
        <w:rPr>
          <w:rFonts w:ascii="Verdana" w:hAnsi="Verdana"/>
          <w:color w:val="000000"/>
          <w:sz w:val="18"/>
          <w:szCs w:val="18"/>
        </w:rPr>
        <w:t>, выборного должностного лица затруднена: жесткими требованиями к основаниям отзыва, степени участия избирателей в</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по отзыву, количеству голосов, необходимых для отзыва; недостаточной активностью населения в использовании возможности контроля за деятельностью органов и должностных лиц местного самоуправления в различных его формах; отсутствием в бюджетах муниципальных образований достаточных финансовых средств для проведения голосования по отзыву.</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развитии института отзыва выборных лиц местного самоуправления все более отчетливо прослеживается тенденция его «</w:t>
      </w:r>
      <w:r>
        <w:rPr>
          <w:rStyle w:val="WW8Num4z0"/>
          <w:rFonts w:ascii="Verdana" w:hAnsi="Verdana"/>
          <w:color w:val="4682B4"/>
          <w:sz w:val="18"/>
          <w:szCs w:val="18"/>
        </w:rPr>
        <w:t>криминализации</w:t>
      </w:r>
      <w:r>
        <w:rPr>
          <w:rFonts w:ascii="Verdana" w:hAnsi="Verdana"/>
          <w:color w:val="000000"/>
          <w:sz w:val="18"/>
          <w:szCs w:val="18"/>
        </w:rPr>
        <w:t>», на что указывают установление в качестве для применения данной меры ответственности только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участие суда в процедуре установления факта их совершения и гарантий прав субъектов ответственности, включая «</w:t>
      </w:r>
      <w:r>
        <w:rPr>
          <w:rStyle w:val="WW8Num4z0"/>
          <w:rFonts w:ascii="Verdana" w:hAnsi="Verdana"/>
          <w:color w:val="4682B4"/>
          <w:sz w:val="18"/>
          <w:szCs w:val="18"/>
        </w:rPr>
        <w:t>активное право на защиту</w:t>
      </w:r>
      <w:r>
        <w:rPr>
          <w:rFonts w:ascii="Verdana" w:hAnsi="Verdana"/>
          <w:color w:val="000000"/>
          <w:sz w:val="18"/>
          <w:szCs w:val="18"/>
        </w:rPr>
        <w:t>» (право давать объяснения по поводу обстоятельств, выдвигаемых в качестве оснований для отзыва, проводить агитацию и т.п.), что свидетельствует об изменении содержания рассматриваемой меры ответственности - от политической (в значительной степени) к собственно юридической.</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содержание данного института существенно ограничивает право населения муниципального образования влиять на органы местного самоуправления и на избранных должностных лиц местного самоуправления. Такой подход не соответствует природе</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 которым по закону наделяется</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а также основам взаимоотношений населения и выборных должностных лиц местного самоуправления. Он противоречит</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основам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 xml:space="preserve">в целом. Кроме этого, существующая правовая конструкция оснований отзыва может привести на практике к конкуренции процедур - процедуры ответственности перед населением и процедуры ответственности перед государством. Исправить </w:t>
      </w:r>
      <w:r>
        <w:rPr>
          <w:rFonts w:ascii="Verdana" w:hAnsi="Verdana"/>
          <w:color w:val="000000"/>
          <w:sz w:val="18"/>
          <w:szCs w:val="18"/>
        </w:rPr>
        <w:lastRenderedPageBreak/>
        <w:t>данную ситуацию позволит закрепление в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предложенной в тексте диссертации модели формализации оснований ответственности выборных лиц местного самоуправления.</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показало, что такие меры конституционно-правовой ответственности как роспуска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отрешения от должности главы муниципального образования, главы местной администрации носят факультативный, т.е. необязательный, характер, поскольку закон не обеспечивает неизбежности их</w:t>
      </w:r>
      <w:r>
        <w:rPr>
          <w:rStyle w:val="WW8Num4z0"/>
          <w:rFonts w:ascii="Verdana" w:hAnsi="Verdana"/>
          <w:color w:val="4682B4"/>
          <w:sz w:val="18"/>
          <w:szCs w:val="18"/>
        </w:rPr>
        <w:t>претерпевания</w:t>
      </w:r>
      <w:r>
        <w:rPr>
          <w:rStyle w:val="WW8Num3z0"/>
          <w:rFonts w:ascii="Verdana" w:hAnsi="Verdana"/>
          <w:color w:val="000000"/>
          <w:sz w:val="18"/>
          <w:szCs w:val="18"/>
        </w:rPr>
        <w:t> </w:t>
      </w:r>
      <w:r>
        <w:rPr>
          <w:rFonts w:ascii="Verdana" w:hAnsi="Verdana"/>
          <w:color w:val="000000"/>
          <w:sz w:val="18"/>
          <w:szCs w:val="18"/>
        </w:rPr>
        <w:t>соответствующими субъектами. Несмотря на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решение принимается политическое.</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субъекты не обязаны именно таким образом реагировать на факт</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решения суда и игнорирование органом или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местного самоуправления письменного предупреждения о возможности применения этих мер.</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правовых конструкций роспуска представительного органа муниципального образования,</w:t>
      </w:r>
      <w:r>
        <w:rPr>
          <w:rStyle w:val="WW8Num3z0"/>
          <w:rFonts w:ascii="Verdana" w:hAnsi="Verdana"/>
          <w:color w:val="000000"/>
          <w:sz w:val="18"/>
          <w:szCs w:val="18"/>
        </w:rPr>
        <w:t> </w:t>
      </w:r>
      <w:r>
        <w:rPr>
          <w:rStyle w:val="WW8Num4z0"/>
          <w:rFonts w:ascii="Verdana" w:hAnsi="Verdana"/>
          <w:color w:val="4682B4"/>
          <w:sz w:val="18"/>
          <w:szCs w:val="18"/>
        </w:rPr>
        <w:t>отрешения</w:t>
      </w:r>
      <w:r>
        <w:rPr>
          <w:rStyle w:val="WW8Num3z0"/>
          <w:rFonts w:ascii="Verdana" w:hAnsi="Verdana"/>
          <w:color w:val="000000"/>
          <w:sz w:val="18"/>
          <w:szCs w:val="18"/>
        </w:rPr>
        <w:t> </w:t>
      </w:r>
      <w:r>
        <w:rPr>
          <w:rFonts w:ascii="Verdana" w:hAnsi="Verdana"/>
          <w:color w:val="000000"/>
          <w:sz w:val="18"/>
          <w:szCs w:val="18"/>
        </w:rPr>
        <w:t>от должности главы муниципального образования, главы местной администрации,</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Style w:val="WW8Num3z0"/>
          <w:rFonts w:ascii="Verdana" w:hAnsi="Verdana"/>
          <w:color w:val="000000"/>
          <w:sz w:val="18"/>
          <w:szCs w:val="18"/>
        </w:rPr>
        <w:t> </w:t>
      </w:r>
      <w:r>
        <w:rPr>
          <w:rFonts w:ascii="Verdana" w:hAnsi="Verdana"/>
          <w:color w:val="000000"/>
          <w:sz w:val="18"/>
          <w:szCs w:val="18"/>
        </w:rPr>
        <w:t>Федеральным законом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различных редакциях) приводит к выводу, что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непоследователен в реформировании данных правовых институтов, в частности в установлении оснований ответственности.</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задачей совершенствования механизма ответственности органов и должностных лиц местного самоуправления, не менее важное значение для обеспечения законности деятельности упомянутых субъектов имеет формирование отлаженного механизма оперативного контроля законности их деятельности. Такой механизм образуют</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Fonts w:ascii="Verdana" w:hAnsi="Verdana"/>
          <w:color w:val="000000"/>
          <w:sz w:val="18"/>
          <w:szCs w:val="18"/>
        </w:rPr>
        <w:t>контроль за законностью правовых актов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Эффективное осуществление административного контроля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должно способствовать не только устранению допущенных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местного самоуправления нарушений законности, но и предотвращению неблагоприятных последствий применения</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законодательству правовых актов местного самоуправления.</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правового регулирования роспуска представительного органа муниципального образования, отрешения от должности главы муниципального образования, главы местной администрации требует внесения в Закон от 6 октября 2003 г. изменений и дополнений. Конкретные предложения в этой части сформулированы в положении, вынесенном на защиту №5.</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Новой для российского законодательства является такая мера конституционно-правовой ответственности как удаление главы муниципального образования в отставку. В работе обоснован вывод о неадекватности формы правового опосредования общественных отношений, связанных с удалением главы муниципального образования в отставку.</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правовая новелла является очередным звеном в системе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мер, направленных на укрепление вертикали власти. Очевидно, что этот институт еще более расширяет пределы государственного вмешательства в дела местного самоуправления. Он несет в себе потенциальную угрозу демократическим основам российского государства, т.к., нарушает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самостоятельности местного самоуправления. Последний предполагает возможность установления непосредственно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 соответствующей процедуры, включая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участников общественных отношений, связанных с применением данной меры. При этом недопустимо вмешательство государственных органов, как это предусмотрено новыми изменениями, внесенными в Закон № 131-ФЗ (ч. 4-7 ст. 741).</w:t>
      </w:r>
    </w:p>
    <w:p w:rsidR="00F30FCD" w:rsidRDefault="00F30FCD" w:rsidP="00F30F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Нормативное закрепление рассматриваемого института является одной из многочисленных иллюстраций явления, характерного для современного российского законодательства, когда цели закона «по</w:t>
      </w:r>
      <w:r>
        <w:rPr>
          <w:rStyle w:val="WW8Num3z0"/>
          <w:rFonts w:ascii="Verdana" w:hAnsi="Verdana"/>
          <w:color w:val="000000"/>
          <w:sz w:val="18"/>
          <w:szCs w:val="18"/>
        </w:rPr>
        <w:t> </w:t>
      </w:r>
      <w:r>
        <w:rPr>
          <w:rStyle w:val="WW8Num4z0"/>
          <w:rFonts w:ascii="Verdana" w:hAnsi="Verdana"/>
          <w:color w:val="4682B4"/>
          <w:sz w:val="18"/>
          <w:szCs w:val="18"/>
        </w:rPr>
        <w:t>оглашению</w:t>
      </w:r>
      <w:r>
        <w:rPr>
          <w:rFonts w:ascii="Verdana" w:hAnsi="Verdana"/>
          <w:color w:val="000000"/>
          <w:sz w:val="18"/>
          <w:szCs w:val="18"/>
        </w:rPr>
        <w:t>» и «</w:t>
      </w:r>
      <w:r>
        <w:rPr>
          <w:rStyle w:val="WW8Num4z0"/>
          <w:rFonts w:ascii="Verdana" w:hAnsi="Verdana"/>
          <w:color w:val="4682B4"/>
          <w:sz w:val="18"/>
          <w:szCs w:val="18"/>
        </w:rPr>
        <w:t>по умолчанию</w:t>
      </w:r>
      <w:r>
        <w:rPr>
          <w:rFonts w:ascii="Verdana" w:hAnsi="Verdana"/>
          <w:color w:val="000000"/>
          <w:sz w:val="18"/>
          <w:szCs w:val="18"/>
        </w:rPr>
        <w:t>» существенно отличаются друг от друга. Так, провозглашая цель создания необходимых правовых основ для стабильного функционирования местного самоуправления на основе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принципа самостоятельности населения в решении вопросов местного значения, реально закон преследует цель ограничить эту самую самостоятельность и организационную обособленность органов местного самоуправления от системы органов государственной власти. Данное явление выполняет деструктивную функцию в </w:t>
      </w:r>
      <w:r>
        <w:rPr>
          <w:rFonts w:ascii="Verdana" w:hAnsi="Verdana"/>
          <w:color w:val="000000"/>
          <w:sz w:val="18"/>
          <w:szCs w:val="18"/>
        </w:rPr>
        <w:lastRenderedPageBreak/>
        <w:t>управлении государством, поскольку дезориентирует субъектов права в</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истинной цели законов и в выборе правовых средств для реализации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ориентирует на проведение дальнейших исследований в сфере, составившей объект исследования. Отдельные вопросы, затронутые в диссертации, могут стать предметом самостоятельного исследования. Так, потребуется научное осмысление практики временного осуществления органами государственной власти отдельных полномочий органов местного самоуправления по мере ее накопления, равно как и опыт удаления главы муниципального образования в отставку.</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свете процессов, происходящих в обществе и государстве, актуализируются вопросы применения конституционно-правового принуждения в других сферах - сферах деятельности органов государственной власти Российской Федерации и ее субъектов.</w:t>
      </w:r>
    </w:p>
    <w:p w:rsidR="00F30FCD" w:rsidRDefault="00F30FCD" w:rsidP="00F30F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изучение поставленных в диссертации вопросов приводит к выводу о необходимости научного переосмысления общетеоретических вопросов, в частности, понятия и содержания законности, а также ее гарантий.</w:t>
      </w:r>
    </w:p>
    <w:p w:rsidR="00F30FCD" w:rsidRDefault="00F30FCD"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30FCD" w:rsidRDefault="00F30FCD" w:rsidP="003C1328">
      <w:pPr>
        <w:jc w:val="both"/>
        <w:rPr>
          <w:rFonts w:ascii="Verdana" w:hAnsi="Verdana"/>
          <w:color w:val="000000"/>
          <w:sz w:val="18"/>
          <w:szCs w:val="18"/>
        </w:rPr>
      </w:pPr>
    </w:p>
    <w:p w:rsidR="00F30FCD" w:rsidRDefault="00F30FCD"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E4" w:rsidRDefault="00532BE4">
      <w:r>
        <w:separator/>
      </w:r>
    </w:p>
  </w:endnote>
  <w:endnote w:type="continuationSeparator" w:id="0">
    <w:p w:rsidR="00532BE4" w:rsidRDefault="0053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E4" w:rsidRDefault="00532BE4">
      <w:r>
        <w:separator/>
      </w:r>
    </w:p>
  </w:footnote>
  <w:footnote w:type="continuationSeparator" w:id="0">
    <w:p w:rsidR="00532BE4" w:rsidRDefault="0053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2BE4"/>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2197-EBF9-4C27-BD63-9F4097D2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11957</TotalTime>
  <Pages>11</Pages>
  <Words>5993</Words>
  <Characters>34164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2009-02-06T08:36:00Z</cp:lastPrinted>
  <dcterms:created xsi:type="dcterms:W3CDTF">2015-03-22T11:10:00Z</dcterms:created>
  <dcterms:modified xsi:type="dcterms:W3CDTF">2015-10-08T08:55:00Z</dcterms:modified>
</cp:coreProperties>
</file>