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C059F"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t>Авдеев, Иван Дмитриевич.</w:t>
      </w:r>
    </w:p>
    <w:p w14:paraId="3970693F"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t xml:space="preserve">Эффекты междолинного смешивания в наноструктурах из халькогенидов </w:t>
      </w:r>
      <w:proofErr w:type="gramStart"/>
      <w:r w:rsidRPr="004523C1">
        <w:rPr>
          <w:rFonts w:ascii="Helvetica" w:eastAsia="Symbol" w:hAnsi="Helvetica" w:cs="Helvetica"/>
          <w:b/>
          <w:bCs/>
          <w:color w:val="222222"/>
          <w:kern w:val="0"/>
          <w:sz w:val="21"/>
          <w:szCs w:val="21"/>
          <w:lang w:eastAsia="ru-RU"/>
        </w:rPr>
        <w:t>свинца :</w:t>
      </w:r>
      <w:proofErr w:type="gramEnd"/>
      <w:r w:rsidRPr="004523C1">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01.04.02 / Авдеев Иван Дмитриевич; [Место защиты: ФГБУН Физико-технический институт им. А.Ф. Иоффе Российской академии наук]. - Санкт-Петербург, 2021. - 142 </w:t>
      </w:r>
      <w:proofErr w:type="gramStart"/>
      <w:r w:rsidRPr="004523C1">
        <w:rPr>
          <w:rFonts w:ascii="Helvetica" w:eastAsia="Symbol" w:hAnsi="Helvetica" w:cs="Helvetica"/>
          <w:b/>
          <w:bCs/>
          <w:color w:val="222222"/>
          <w:kern w:val="0"/>
          <w:sz w:val="21"/>
          <w:szCs w:val="21"/>
          <w:lang w:eastAsia="ru-RU"/>
        </w:rPr>
        <w:t>с. :</w:t>
      </w:r>
      <w:proofErr w:type="gramEnd"/>
      <w:r w:rsidRPr="004523C1">
        <w:rPr>
          <w:rFonts w:ascii="Helvetica" w:eastAsia="Symbol" w:hAnsi="Helvetica" w:cs="Helvetica"/>
          <w:b/>
          <w:bCs/>
          <w:color w:val="222222"/>
          <w:kern w:val="0"/>
          <w:sz w:val="21"/>
          <w:szCs w:val="21"/>
          <w:lang w:eastAsia="ru-RU"/>
        </w:rPr>
        <w:t xml:space="preserve"> ил.</w:t>
      </w:r>
    </w:p>
    <w:p w14:paraId="2882707A"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t>Оглавление диссертациикандидат наук Авдеев Иван Дмитриевич</w:t>
      </w:r>
    </w:p>
    <w:p w14:paraId="2F21C2F3"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t>1.1 Метод сильной связи</w:t>
      </w:r>
    </w:p>
    <w:p w14:paraId="3D40BAD2"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t>1.1.1 Волновые функции: формализм и метод расчета</w:t>
      </w:r>
    </w:p>
    <w:p w14:paraId="774BDC42"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t xml:space="preserve">1.1.2 Особенности зонной структуры халькогенидов </w:t>
      </w:r>
      <w:proofErr w:type="gramStart"/>
      <w:r w:rsidRPr="004523C1">
        <w:rPr>
          <w:rFonts w:ascii="Helvetica" w:eastAsia="Symbol" w:hAnsi="Helvetica" w:cs="Helvetica"/>
          <w:b/>
          <w:bCs/>
          <w:color w:val="222222"/>
          <w:kern w:val="0"/>
          <w:sz w:val="21"/>
          <w:szCs w:val="21"/>
          <w:lang w:eastAsia="ru-RU"/>
        </w:rPr>
        <w:t>свинца ,</w:t>
      </w:r>
      <w:proofErr w:type="gramEnd"/>
      <w:r w:rsidRPr="004523C1">
        <w:rPr>
          <w:rFonts w:ascii="Helvetica" w:eastAsia="Symbol" w:hAnsi="Helvetica" w:cs="Helvetica"/>
          <w:b/>
          <w:bCs/>
          <w:color w:val="222222"/>
          <w:kern w:val="0"/>
          <w:sz w:val="21"/>
          <w:szCs w:val="21"/>
          <w:lang w:eastAsia="ru-RU"/>
        </w:rPr>
        <w:t xml:space="preserve"> , , ,</w:t>
      </w:r>
    </w:p>
    <w:p w14:paraId="344DC53E"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t>1.1.3 Расчет вероятностей оптических переходов</w:t>
      </w:r>
    </w:p>
    <w:p w14:paraId="26949957"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t>1.1.4 Учет статических внешних полей</w:t>
      </w:r>
    </w:p>
    <w:p w14:paraId="2DCB72D4"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t>1.1.5 Преобразование Фурье</w:t>
      </w:r>
    </w:p>
    <w:p w14:paraId="7100E8C8"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t xml:space="preserve">1.2 Расчет экситонов методом конфигурационного </w:t>
      </w:r>
      <w:proofErr w:type="gramStart"/>
      <w:r w:rsidRPr="004523C1">
        <w:rPr>
          <w:rFonts w:ascii="Helvetica" w:eastAsia="Symbol" w:hAnsi="Helvetica" w:cs="Helvetica"/>
          <w:b/>
          <w:bCs/>
          <w:color w:val="222222"/>
          <w:kern w:val="0"/>
          <w:sz w:val="21"/>
          <w:szCs w:val="21"/>
          <w:lang w:eastAsia="ru-RU"/>
        </w:rPr>
        <w:t>взаимодействия ,</w:t>
      </w:r>
      <w:proofErr w:type="gramEnd"/>
      <w:r w:rsidRPr="004523C1">
        <w:rPr>
          <w:rFonts w:ascii="Helvetica" w:eastAsia="Symbol" w:hAnsi="Helvetica" w:cs="Helvetica"/>
          <w:b/>
          <w:bCs/>
          <w:color w:val="222222"/>
          <w:kern w:val="0"/>
          <w:sz w:val="21"/>
          <w:szCs w:val="21"/>
          <w:lang w:eastAsia="ru-RU"/>
        </w:rPr>
        <w:t xml:space="preserve"> , ,</w:t>
      </w:r>
    </w:p>
    <w:p w14:paraId="4AEF4295"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t>1.3 Симметрийный анализ в методе сильной связи</w:t>
      </w:r>
    </w:p>
    <w:p w14:paraId="57DA26C5"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t>1.3.1 Преобразование одночаетичных состояний</w:t>
      </w:r>
    </w:p>
    <w:p w14:paraId="670E28D5"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t>1.3.2 Преобразование экеитонных состояний</w:t>
      </w:r>
    </w:p>
    <w:p w14:paraId="25416858"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t>1.3.3 Приведение состояний к каноническому виду</w:t>
      </w:r>
    </w:p>
    <w:p w14:paraId="594CC033"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t>1.4 Краткие итоги</w:t>
      </w:r>
    </w:p>
    <w:p w14:paraId="70764243"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t>2 Нанопроволоки из РЬБе</w:t>
      </w:r>
    </w:p>
    <w:p w14:paraId="03D8E719"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t>2.1 Введение</w:t>
      </w:r>
    </w:p>
    <w:p w14:paraId="33266D25"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t>2.2 Метод эффективной массы</w:t>
      </w:r>
    </w:p>
    <w:p w14:paraId="6435EDB8"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t>2,2,1 Волновые функции в нанопроволоках, энергетический спектр</w:t>
      </w:r>
    </w:p>
    <w:p w14:paraId="03ED9E6A"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t>2.2.2 Симметрия состояний в нанопроволоках</w:t>
      </w:r>
    </w:p>
    <w:p w14:paraId="4DE2F191"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t>2.2.3 Обобщение метода эффективной массы для комбинаций долин</w:t>
      </w:r>
    </w:p>
    <w:p w14:paraId="165A3633"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t>2.3 Цилиндрические нанопроволоки с осью, направленной вдоль [111]</w:t>
      </w:r>
    </w:p>
    <w:p w14:paraId="1DDDF2EF"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t>2.3.1 Микроскопическая структура нанопроволок</w:t>
      </w:r>
    </w:p>
    <w:p w14:paraId="66BD7B56"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t xml:space="preserve">2.3.2 Спектр, долинные расщепления, структура </w:t>
      </w:r>
      <w:proofErr w:type="gramStart"/>
      <w:r w:rsidRPr="004523C1">
        <w:rPr>
          <w:rFonts w:ascii="Helvetica" w:eastAsia="Symbol" w:hAnsi="Helvetica" w:cs="Helvetica"/>
          <w:b/>
          <w:bCs/>
          <w:color w:val="222222"/>
          <w:kern w:val="0"/>
          <w:sz w:val="21"/>
          <w:szCs w:val="21"/>
          <w:lang w:eastAsia="ru-RU"/>
        </w:rPr>
        <w:t>состояний ,</w:t>
      </w:r>
      <w:proofErr w:type="gramEnd"/>
      <w:r w:rsidRPr="004523C1">
        <w:rPr>
          <w:rFonts w:ascii="Helvetica" w:eastAsia="Symbol" w:hAnsi="Helvetica" w:cs="Helvetica"/>
          <w:b/>
          <w:bCs/>
          <w:color w:val="222222"/>
          <w:kern w:val="0"/>
          <w:sz w:val="21"/>
          <w:szCs w:val="21"/>
          <w:lang w:eastAsia="ru-RU"/>
        </w:rPr>
        <w:t xml:space="preserve"> , , ,</w:t>
      </w:r>
    </w:p>
    <w:p w14:paraId="0E317B25"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t xml:space="preserve">2.3.3 Линейные по </w:t>
      </w:r>
      <w:proofErr w:type="gramStart"/>
      <w:r w:rsidRPr="004523C1">
        <w:rPr>
          <w:rFonts w:ascii="Helvetica" w:eastAsia="Symbol" w:hAnsi="Helvetica" w:cs="Helvetica"/>
          <w:b/>
          <w:bCs/>
          <w:color w:val="222222"/>
          <w:kern w:val="0"/>
          <w:sz w:val="21"/>
          <w:szCs w:val="21"/>
          <w:lang w:eastAsia="ru-RU"/>
        </w:rPr>
        <w:t>к спиновые расщепления</w:t>
      </w:r>
      <w:proofErr w:type="gramEnd"/>
    </w:p>
    <w:p w14:paraId="1B4DF94F"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t>2.4 Ограненные нанопроволоки [110]</w:t>
      </w:r>
    </w:p>
    <w:p w14:paraId="19620E63"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t>2.4.1 Микроскопическая структура нанопроволок</w:t>
      </w:r>
    </w:p>
    <w:p w14:paraId="61CEB8C4"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t>2.4.2 Зависимость долинных расщеплений от формы поверхности</w:t>
      </w:r>
    </w:p>
    <w:p w14:paraId="52931802"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t>2.4.3 Влияние возмущений поверхности</w:t>
      </w:r>
    </w:p>
    <w:p w14:paraId="700CF8A3"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lastRenderedPageBreak/>
        <w:t>2.4.4 Симметрийный нанопроволок с неспмморфной пространственной группой</w:t>
      </w:r>
    </w:p>
    <w:p w14:paraId="3CAB8558"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t>2.5 Краткие итоги</w:t>
      </w:r>
    </w:p>
    <w:p w14:paraId="1B274BD3"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t>3 Квантовые точки из РЬБ</w:t>
      </w:r>
    </w:p>
    <w:p w14:paraId="4D94A2BC"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t>3.1 Введение</w:t>
      </w:r>
    </w:p>
    <w:p w14:paraId="5A33F244"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t>3.2 Микроскопическая структура квантовых точек</w:t>
      </w:r>
    </w:p>
    <w:p w14:paraId="15E21118"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t>3.3 Одночаетичные состояния</w:t>
      </w:r>
    </w:p>
    <w:p w14:paraId="1CB678E6"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t>3.3.1 Размерное квантование</w:t>
      </w:r>
    </w:p>
    <w:p w14:paraId="1F48C55B"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t>3.3.2 Долинные расщепления</w:t>
      </w:r>
    </w:p>
    <w:p w14:paraId="45C7F792"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t>3.4 Тонкая структура экситона</w:t>
      </w:r>
    </w:p>
    <w:p w14:paraId="237168C5"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t>3.4.1 Детали численной реализации</w:t>
      </w:r>
    </w:p>
    <w:p w14:paraId="50CD010B"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t>3.4.2 Результаты расчета экеитонных состояний</w:t>
      </w:r>
    </w:p>
    <w:p w14:paraId="63ADD4AB"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t>3.4.3 Сравнение с экспериментом</w:t>
      </w:r>
    </w:p>
    <w:p w14:paraId="1EC47D83"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t>3.5 Низкотемпературная фотолюминесценция в магнитном поле: модель квантовых точек с дефектами</w:t>
      </w:r>
    </w:p>
    <w:p w14:paraId="730FD8D0"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t>3,5,1 Модель квантовых точки е дефектами</w:t>
      </w:r>
    </w:p>
    <w:p w14:paraId="41FD95AE"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t>3,6 Краткие итоги</w:t>
      </w:r>
    </w:p>
    <w:p w14:paraId="38640044"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t>4 Модель тонкой структуры экситона в квантовых точках из халь-</w:t>
      </w:r>
    </w:p>
    <w:p w14:paraId="6F6AF230"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t>когенидов свинца</w:t>
      </w:r>
    </w:p>
    <w:p w14:paraId="74DA1232"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t>4.1 Обобщенный метод эффективной массы</w:t>
      </w:r>
    </w:p>
    <w:p w14:paraId="6CF9049E"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t xml:space="preserve">4.1.1 Размерное квантование и явный вид волновых </w:t>
      </w:r>
      <w:proofErr w:type="gramStart"/>
      <w:r w:rsidRPr="004523C1">
        <w:rPr>
          <w:rFonts w:ascii="Helvetica" w:eastAsia="Symbol" w:hAnsi="Helvetica" w:cs="Helvetica"/>
          <w:b/>
          <w:bCs/>
          <w:color w:val="222222"/>
          <w:kern w:val="0"/>
          <w:sz w:val="21"/>
          <w:szCs w:val="21"/>
          <w:lang w:eastAsia="ru-RU"/>
        </w:rPr>
        <w:t>функций ,</w:t>
      </w:r>
      <w:proofErr w:type="gramEnd"/>
      <w:r w:rsidRPr="004523C1">
        <w:rPr>
          <w:rFonts w:ascii="Helvetica" w:eastAsia="Symbol" w:hAnsi="Helvetica" w:cs="Helvetica"/>
          <w:b/>
          <w:bCs/>
          <w:color w:val="222222"/>
          <w:kern w:val="0"/>
          <w:sz w:val="21"/>
          <w:szCs w:val="21"/>
          <w:lang w:eastAsia="ru-RU"/>
        </w:rPr>
        <w:t xml:space="preserve"> , ,</w:t>
      </w:r>
    </w:p>
    <w:p w14:paraId="2833165D"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t>4.1.2 Гамильтониан долинного смешивания</w:t>
      </w:r>
    </w:p>
    <w:p w14:paraId="4AEDB617"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t>4.1.3 Оптические матричные элементы</w:t>
      </w:r>
    </w:p>
    <w:p w14:paraId="1C6F7510"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t>4.2 Кулоновекое взаимодействие</w:t>
      </w:r>
    </w:p>
    <w:p w14:paraId="7AEA9F15"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t>4.2.1 Прямое кулоновекое взаимодействие</w:t>
      </w:r>
    </w:p>
    <w:p w14:paraId="15E5D248"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t>4.2.2 Обменное взаимодействие</w:t>
      </w:r>
    </w:p>
    <w:p w14:paraId="2CC0CC21"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t>4.2.3 Учет анизотропии</w:t>
      </w:r>
    </w:p>
    <w:p w14:paraId="7B63DBC3"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t>4.2.4 Тонкая структура экситона: формирование сверхъяркого триплета</w:t>
      </w:r>
    </w:p>
    <w:p w14:paraId="40F2B682"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t>4.3 Краткие итоги</w:t>
      </w:r>
    </w:p>
    <w:p w14:paraId="3A507E01"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t>Заключение</w:t>
      </w:r>
    </w:p>
    <w:p w14:paraId="3CFED1F7" w14:textId="77777777" w:rsidR="004523C1" w:rsidRPr="004523C1" w:rsidRDefault="004523C1" w:rsidP="004523C1">
      <w:pPr>
        <w:rPr>
          <w:rFonts w:ascii="Helvetica" w:eastAsia="Symbol" w:hAnsi="Helvetica" w:cs="Helvetica"/>
          <w:b/>
          <w:bCs/>
          <w:color w:val="222222"/>
          <w:kern w:val="0"/>
          <w:sz w:val="21"/>
          <w:szCs w:val="21"/>
          <w:lang w:eastAsia="ru-RU"/>
        </w:rPr>
      </w:pPr>
      <w:r w:rsidRPr="004523C1">
        <w:rPr>
          <w:rFonts w:ascii="Helvetica" w:eastAsia="Symbol" w:hAnsi="Helvetica" w:cs="Helvetica"/>
          <w:b/>
          <w:bCs/>
          <w:color w:val="222222"/>
          <w:kern w:val="0"/>
          <w:sz w:val="21"/>
          <w:szCs w:val="21"/>
          <w:lang w:eastAsia="ru-RU"/>
        </w:rPr>
        <w:t>Список литературы</w:t>
      </w:r>
    </w:p>
    <w:p w14:paraId="77FDBE4B" w14:textId="366E5A1B" w:rsidR="00410372" w:rsidRPr="004523C1" w:rsidRDefault="00410372" w:rsidP="004523C1"/>
    <w:sectPr w:rsidR="00410372" w:rsidRPr="004523C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57CD8" w14:textId="77777777" w:rsidR="00007532" w:rsidRDefault="00007532">
      <w:pPr>
        <w:spacing w:after="0" w:line="240" w:lineRule="auto"/>
      </w:pPr>
      <w:r>
        <w:separator/>
      </w:r>
    </w:p>
  </w:endnote>
  <w:endnote w:type="continuationSeparator" w:id="0">
    <w:p w14:paraId="1874097E" w14:textId="77777777" w:rsidR="00007532" w:rsidRDefault="00007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3C0A3" w14:textId="77777777" w:rsidR="00007532" w:rsidRDefault="00007532"/>
    <w:p w14:paraId="0971F3A7" w14:textId="77777777" w:rsidR="00007532" w:rsidRDefault="00007532"/>
    <w:p w14:paraId="739CF740" w14:textId="77777777" w:rsidR="00007532" w:rsidRDefault="00007532"/>
    <w:p w14:paraId="67C64B2F" w14:textId="77777777" w:rsidR="00007532" w:rsidRDefault="00007532"/>
    <w:p w14:paraId="3D3F2A82" w14:textId="77777777" w:rsidR="00007532" w:rsidRDefault="00007532"/>
    <w:p w14:paraId="3B4E8E4D" w14:textId="77777777" w:rsidR="00007532" w:rsidRDefault="00007532"/>
    <w:p w14:paraId="4FB5E7FA" w14:textId="77777777" w:rsidR="00007532" w:rsidRDefault="0000753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36BC80" wp14:editId="37EA75E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E8CCC" w14:textId="77777777" w:rsidR="00007532" w:rsidRDefault="000075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36BC8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E4E8CCC" w14:textId="77777777" w:rsidR="00007532" w:rsidRDefault="000075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915104" w14:textId="77777777" w:rsidR="00007532" w:rsidRDefault="00007532"/>
    <w:p w14:paraId="31DDCF36" w14:textId="77777777" w:rsidR="00007532" w:rsidRDefault="00007532"/>
    <w:p w14:paraId="25630C68" w14:textId="77777777" w:rsidR="00007532" w:rsidRDefault="0000753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BA256A" wp14:editId="583A2F1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14D6A" w14:textId="77777777" w:rsidR="00007532" w:rsidRDefault="00007532"/>
                          <w:p w14:paraId="4213C322" w14:textId="77777777" w:rsidR="00007532" w:rsidRDefault="000075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BA256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514D6A" w14:textId="77777777" w:rsidR="00007532" w:rsidRDefault="00007532"/>
                    <w:p w14:paraId="4213C322" w14:textId="77777777" w:rsidR="00007532" w:rsidRDefault="000075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DFB7B0" w14:textId="77777777" w:rsidR="00007532" w:rsidRDefault="00007532"/>
    <w:p w14:paraId="1896C6D6" w14:textId="77777777" w:rsidR="00007532" w:rsidRDefault="00007532">
      <w:pPr>
        <w:rPr>
          <w:sz w:val="2"/>
          <w:szCs w:val="2"/>
        </w:rPr>
      </w:pPr>
    </w:p>
    <w:p w14:paraId="6B56C8CC" w14:textId="77777777" w:rsidR="00007532" w:rsidRDefault="00007532"/>
    <w:p w14:paraId="7B6217C4" w14:textId="77777777" w:rsidR="00007532" w:rsidRDefault="00007532">
      <w:pPr>
        <w:spacing w:after="0" w:line="240" w:lineRule="auto"/>
      </w:pPr>
    </w:p>
  </w:footnote>
  <w:footnote w:type="continuationSeparator" w:id="0">
    <w:p w14:paraId="09B7603E" w14:textId="77777777" w:rsidR="00007532" w:rsidRDefault="000075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32"/>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141209</TotalTime>
  <Pages>2</Pages>
  <Words>384</Words>
  <Characters>2192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3812</cp:revision>
  <cp:lastPrinted>2009-02-06T05:36:00Z</cp:lastPrinted>
  <dcterms:created xsi:type="dcterms:W3CDTF">2024-01-07T13:43:00Z</dcterms:created>
  <dcterms:modified xsi:type="dcterms:W3CDTF">2025-07-28T20:50:00Z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