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BEA7" w14:textId="38B030C3" w:rsidR="0061127D" w:rsidRDefault="00FC62B4" w:rsidP="00FC62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Скорук Леонід Миколайович. Визначення деформацій та ефективних розрахункових моделей залізобетонних плит з тріщинами : Дис... канд. техн. наук: 05.23.01 / Київський національний ун-т будівництва і архітектури. — К., 2004. — 146арк. : рис., табл. — Бібліогр.: арк. 123-144.</w:t>
      </w:r>
    </w:p>
    <w:p w14:paraId="7BFA312D" w14:textId="77777777" w:rsidR="00FC62B4" w:rsidRPr="00FC62B4" w:rsidRDefault="00FC62B4" w:rsidP="00FC6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6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Скорук Л.М.</w:t>
      </w:r>
      <w:r w:rsidRPr="00FC62B4">
        <w:rPr>
          <w:rFonts w:ascii="Times New Roman" w:eastAsia="Times New Roman" w:hAnsi="Times New Roman" w:cs="Times New Roman"/>
          <w:color w:val="000000"/>
          <w:sz w:val="27"/>
          <w:szCs w:val="27"/>
        </w:rPr>
        <w:t> Визначення деформацій та ефективних розрахункових моделей залізобетонних плит з тріщинами. – Рукопис.</w:t>
      </w:r>
    </w:p>
    <w:p w14:paraId="483D87F4" w14:textId="77777777" w:rsidR="00FC62B4" w:rsidRPr="00FC62B4" w:rsidRDefault="00FC62B4" w:rsidP="00FC6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62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05.23.01 – Будівельні конструкції, будівлі та споруди. – Київський національний університет будівництва і архітектури Міністерства освіти і науки України. – Київ, 2005.</w:t>
      </w:r>
    </w:p>
    <w:p w14:paraId="7B9583B6" w14:textId="77777777" w:rsidR="00FC62B4" w:rsidRPr="00FC62B4" w:rsidRDefault="00FC62B4" w:rsidP="00FC6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62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теоретичному дослідженню напружено-деформованого стану залізобетонних плит та визначенню їх деформацій у непружній стадії роботи з урахуванням тріщин.</w:t>
      </w:r>
    </w:p>
    <w:p w14:paraId="31EAE8C9" w14:textId="77777777" w:rsidR="00FC62B4" w:rsidRPr="00FC62B4" w:rsidRDefault="00FC62B4" w:rsidP="00FC6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62B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залежності для визначення кривизн у залізобетонних плитах з тріщинами на основі залежностей, прийнятних для одновісного напруженого стану з можливістю їх трансформації для плоского напруженого стану та метод визначення прогинів у залізобетонних плитах, що є прийнятний для застосування його при розрахунку плит як у пружній, так і в пластичній стадіях роботи.</w:t>
      </w:r>
    </w:p>
    <w:p w14:paraId="1BF130AD" w14:textId="77777777" w:rsidR="00FC62B4" w:rsidRPr="00FC62B4" w:rsidRDefault="00FC62B4" w:rsidP="00FC6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62B4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моделювання та розрахунок за допомогою спеціалізованих обчислювальних програм ребристих плит та перекриттів, вибір їх розрахункової схеми та можливі труднощі і проблеми переходу від реальної конструкції до розрахункової схеми і навпаки. Наведено результати чисельного експерименту, їх аналіз та порівняння з результатами традиційного розрахунку таких конструкцій.</w:t>
      </w:r>
    </w:p>
    <w:p w14:paraId="5A4B70D8" w14:textId="77777777" w:rsidR="00FC62B4" w:rsidRPr="00FC62B4" w:rsidRDefault="00FC62B4" w:rsidP="00FC62B4"/>
    <w:sectPr w:rsidR="00FC62B4" w:rsidRPr="00FC62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5AB8" w14:textId="77777777" w:rsidR="00240FBD" w:rsidRDefault="00240FBD">
      <w:pPr>
        <w:spacing w:after="0" w:line="240" w:lineRule="auto"/>
      </w:pPr>
      <w:r>
        <w:separator/>
      </w:r>
    </w:p>
  </w:endnote>
  <w:endnote w:type="continuationSeparator" w:id="0">
    <w:p w14:paraId="6A02422B" w14:textId="77777777" w:rsidR="00240FBD" w:rsidRDefault="0024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DF3C" w14:textId="77777777" w:rsidR="00240FBD" w:rsidRDefault="00240FBD">
      <w:pPr>
        <w:spacing w:after="0" w:line="240" w:lineRule="auto"/>
      </w:pPr>
      <w:r>
        <w:separator/>
      </w:r>
    </w:p>
  </w:footnote>
  <w:footnote w:type="continuationSeparator" w:id="0">
    <w:p w14:paraId="4B8035CC" w14:textId="77777777" w:rsidR="00240FBD" w:rsidRDefault="0024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0FB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</cp:revision>
  <dcterms:created xsi:type="dcterms:W3CDTF">2024-06-20T08:51:00Z</dcterms:created>
  <dcterms:modified xsi:type="dcterms:W3CDTF">2024-11-11T19:00:00Z</dcterms:modified>
  <cp:category/>
</cp:coreProperties>
</file>