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3327" w14:textId="77777777" w:rsidR="00FA4D70" w:rsidRDefault="00FA4D70" w:rsidP="00FA4D70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Федеральное государственное казенное образовательное учреждение</w:t>
      </w:r>
    </w:p>
    <w:p w14:paraId="21950CBA" w14:textId="77777777" w:rsidR="00FA4D70" w:rsidRDefault="00FA4D70" w:rsidP="00FA4D70">
      <w:pPr>
        <w:pStyle w:val="210"/>
        <w:shd w:val="clear" w:color="auto" w:fill="auto"/>
        <w:spacing w:after="597"/>
        <w:ind w:left="20"/>
      </w:pPr>
      <w:r>
        <w:rPr>
          <w:rStyle w:val="21"/>
          <w:color w:val="000000"/>
        </w:rPr>
        <w:t>высшего образования</w:t>
      </w:r>
      <w:r>
        <w:rPr>
          <w:rStyle w:val="21"/>
          <w:color w:val="000000"/>
        </w:rPr>
        <w:br/>
        <w:t>«Восточно-Сибирский институт</w:t>
      </w:r>
      <w:r>
        <w:rPr>
          <w:rStyle w:val="21"/>
          <w:color w:val="000000"/>
        </w:rPr>
        <w:br/>
        <w:t>Министерства внутренних дел Российской Федерации»</w:t>
      </w:r>
    </w:p>
    <w:p w14:paraId="6E15FFD4" w14:textId="793F20C3" w:rsidR="00FA4D70" w:rsidRDefault="00FA4D70" w:rsidP="00FA4D70">
      <w:pPr>
        <w:framePr w:h="150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465A1E30" wp14:editId="6E70D242">
            <wp:extent cx="2075180" cy="954405"/>
            <wp:effectExtent l="0" t="0" r="127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5410" w14:textId="77777777" w:rsidR="00FA4D70" w:rsidRDefault="00FA4D70" w:rsidP="00FA4D70">
      <w:pPr>
        <w:pStyle w:val="af5"/>
        <w:framePr w:h="1509" w:wrap="notBeside" w:vAnchor="text" w:hAnchor="text" w:xAlign="right" w:y="1"/>
        <w:shd w:val="clear" w:color="auto" w:fill="auto"/>
        <w:spacing w:line="280" w:lineRule="exact"/>
      </w:pPr>
      <w:r>
        <w:rPr>
          <w:rStyle w:val="af6"/>
          <w:i/>
          <w:iCs/>
          <w:color w:val="000000"/>
        </w:rPr>
        <w:t>На правах рукописи</w:t>
      </w:r>
    </w:p>
    <w:p w14:paraId="0A19C0F5" w14:textId="77777777" w:rsidR="00FA4D70" w:rsidRDefault="00FA4D70" w:rsidP="00FA4D70">
      <w:pPr>
        <w:rPr>
          <w:sz w:val="2"/>
          <w:szCs w:val="2"/>
        </w:rPr>
      </w:pPr>
    </w:p>
    <w:p w14:paraId="190C3400" w14:textId="77777777" w:rsidR="00FA4D70" w:rsidRDefault="00FA4D70" w:rsidP="00FA4D70">
      <w:pPr>
        <w:pStyle w:val="33"/>
        <w:keepNext/>
        <w:keepLines/>
        <w:shd w:val="clear" w:color="auto" w:fill="auto"/>
        <w:spacing w:before="631" w:after="406" w:line="280" w:lineRule="exact"/>
        <w:ind w:left="20"/>
      </w:pPr>
      <w:bookmarkStart w:id="0" w:name="bookmark0"/>
      <w:r>
        <w:rPr>
          <w:rStyle w:val="32"/>
          <w:b/>
          <w:bCs/>
          <w:color w:val="000000"/>
        </w:rPr>
        <w:t>Вастьянова Олеся Дмитриевна</w:t>
      </w:r>
      <w:bookmarkEnd w:id="0"/>
    </w:p>
    <w:p w14:paraId="043391EF" w14:textId="77777777" w:rsidR="00FA4D70" w:rsidRDefault="00FA4D70" w:rsidP="00FA4D70">
      <w:pPr>
        <w:pStyle w:val="33"/>
        <w:keepNext/>
        <w:keepLines/>
        <w:shd w:val="clear" w:color="auto" w:fill="auto"/>
        <w:spacing w:before="0" w:after="584" w:line="485" w:lineRule="exact"/>
        <w:ind w:left="20"/>
      </w:pPr>
      <w:bookmarkStart w:id="1" w:name="bookmark1"/>
      <w:r>
        <w:rPr>
          <w:rStyle w:val="32"/>
          <w:b/>
          <w:bCs/>
          <w:color w:val="000000"/>
        </w:rPr>
        <w:t>ЗАПРЕТ ОПРЕДЕЛЕННЫХ ДЕЙСТВИИ</w:t>
      </w:r>
      <w:r>
        <w:rPr>
          <w:rStyle w:val="32"/>
          <w:b/>
          <w:bCs/>
          <w:color w:val="000000"/>
        </w:rPr>
        <w:br/>
        <w:t>КАК МЕРА ПРЕСЕЧЕНИЯ В УГОЛОВНОМ ПРОЦЕССЕ РОССИИ</w:t>
      </w:r>
      <w:bookmarkEnd w:id="1"/>
    </w:p>
    <w:p w14:paraId="49723E90" w14:textId="77777777" w:rsidR="00FA4D70" w:rsidRDefault="00FA4D70" w:rsidP="00FA4D70">
      <w:pPr>
        <w:pStyle w:val="210"/>
        <w:shd w:val="clear" w:color="auto" w:fill="auto"/>
        <w:spacing w:after="950" w:line="280" w:lineRule="exact"/>
        <w:ind w:left="20"/>
      </w:pPr>
      <w:r>
        <w:rPr>
          <w:rStyle w:val="21"/>
          <w:color w:val="000000"/>
        </w:rPr>
        <w:t>Специальность 12.00.09 — Уголовный процесс</w:t>
      </w:r>
    </w:p>
    <w:p w14:paraId="3ED6F1C1" w14:textId="77777777" w:rsidR="00FA4D70" w:rsidRDefault="00FA4D70" w:rsidP="00FA4D70">
      <w:pPr>
        <w:pStyle w:val="210"/>
        <w:shd w:val="clear" w:color="auto" w:fill="auto"/>
        <w:spacing w:after="900" w:line="480" w:lineRule="exact"/>
        <w:ind w:left="20"/>
      </w:pPr>
      <w:r>
        <w:rPr>
          <w:rStyle w:val="21"/>
          <w:color w:val="000000"/>
        </w:rPr>
        <w:t>ДИССЕРТАЦИЯ</w:t>
      </w:r>
      <w:r>
        <w:rPr>
          <w:rStyle w:val="21"/>
          <w:color w:val="000000"/>
        </w:rPr>
        <w:br/>
        <w:t>на соискание ученой степени</w:t>
      </w:r>
      <w:r>
        <w:rPr>
          <w:rStyle w:val="21"/>
          <w:color w:val="000000"/>
        </w:rPr>
        <w:br/>
        <w:t>кандидата юридических наук</w:t>
      </w:r>
    </w:p>
    <w:p w14:paraId="570551FA" w14:textId="77777777" w:rsidR="00FA4D70" w:rsidRDefault="00FA4D70" w:rsidP="00FA4D70">
      <w:pPr>
        <w:pStyle w:val="210"/>
        <w:shd w:val="clear" w:color="auto" w:fill="auto"/>
        <w:spacing w:line="480" w:lineRule="exact"/>
        <w:ind w:left="4680"/>
        <w:jc w:val="left"/>
      </w:pPr>
      <w:r>
        <w:rPr>
          <w:rStyle w:val="21"/>
          <w:color w:val="000000"/>
        </w:rPr>
        <w:t>Научный руководитель:</w:t>
      </w:r>
    </w:p>
    <w:p w14:paraId="0226CDFF" w14:textId="77777777" w:rsidR="00FA4D70" w:rsidRDefault="00FA4D70" w:rsidP="00FA4D70">
      <w:pPr>
        <w:pStyle w:val="210"/>
        <w:shd w:val="clear" w:color="auto" w:fill="auto"/>
        <w:spacing w:after="580" w:line="480" w:lineRule="exact"/>
        <w:ind w:left="4680"/>
        <w:jc w:val="left"/>
      </w:pPr>
      <w:r>
        <w:rPr>
          <w:rStyle w:val="21"/>
          <w:color w:val="000000"/>
        </w:rPr>
        <w:lastRenderedPageBreak/>
        <w:t>Заслуженный деятель науки Российской Федерации, доктор юридических наук, профессор Вячеслав Владимирович Николюк</w:t>
      </w:r>
    </w:p>
    <w:p w14:paraId="25B971E0" w14:textId="77777777" w:rsidR="00FA4D70" w:rsidRDefault="00FA4D70" w:rsidP="00FA4D70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Иркутск 2022</w:t>
      </w:r>
      <w:r>
        <w:br w:type="page"/>
      </w:r>
    </w:p>
    <w:p w14:paraId="565267BB" w14:textId="77777777" w:rsidR="00FA4D70" w:rsidRDefault="00FA4D70" w:rsidP="00FA4D70">
      <w:pPr>
        <w:pStyle w:val="210"/>
        <w:shd w:val="clear" w:color="auto" w:fill="auto"/>
        <w:spacing w:after="272" w:line="280" w:lineRule="exact"/>
        <w:ind w:left="60"/>
      </w:pPr>
      <w:r>
        <w:rPr>
          <w:rStyle w:val="21"/>
          <w:color w:val="000000"/>
        </w:rPr>
        <w:lastRenderedPageBreak/>
        <w:t>ОГЛАВЛЕНИЕ</w:t>
      </w:r>
    </w:p>
    <w:p w14:paraId="32625B1C" w14:textId="77777777" w:rsidR="00FA4D70" w:rsidRDefault="00FA4D70" w:rsidP="00FA4D70">
      <w:pPr>
        <w:pStyle w:val="34"/>
        <w:tabs>
          <w:tab w:val="left" w:leader="dot" w:pos="9715"/>
        </w:tabs>
        <w:spacing w:after="112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>3</w:t>
        </w:r>
      </w:hyperlink>
    </w:p>
    <w:p w14:paraId="024E036A" w14:textId="77777777" w:rsidR="00FA4D70" w:rsidRDefault="00FA4D70" w:rsidP="00FA4D70">
      <w:pPr>
        <w:pStyle w:val="34"/>
        <w:spacing w:after="0" w:line="480" w:lineRule="exact"/>
      </w:pPr>
      <w:r>
        <w:rPr>
          <w:rStyle w:val="35"/>
          <w:color w:val="000000"/>
        </w:rPr>
        <w:t>ГЛАВА 1. ПОНЯТИЕ И СУЩНОСТЬ МЕРЫ ПРЕСЕЧЕНИЯ В ВИДЕ ЗАПРЕТА ОПРЕДЕЛЕННЫХ ДЕЙСТВИЙ</w:t>
      </w:r>
    </w:p>
    <w:p w14:paraId="05E59C81" w14:textId="77777777" w:rsidR="00FA4D70" w:rsidRDefault="00FA4D70" w:rsidP="00FA4D70">
      <w:pPr>
        <w:pStyle w:val="34"/>
        <w:spacing w:after="0" w:line="480" w:lineRule="exact"/>
        <w:ind w:left="520"/>
      </w:pPr>
      <w:r>
        <w:rPr>
          <w:rStyle w:val="35"/>
          <w:color w:val="000000"/>
        </w:rPr>
        <w:t>§ 1. Запрет определенных действий: понятие и место в системе мер</w:t>
      </w:r>
    </w:p>
    <w:p w14:paraId="54B1ADAC" w14:textId="77777777" w:rsidR="00FA4D70" w:rsidRDefault="00FA4D70" w:rsidP="00FA4D70">
      <w:pPr>
        <w:pStyle w:val="34"/>
        <w:tabs>
          <w:tab w:val="right" w:leader="dot" w:pos="9922"/>
        </w:tabs>
        <w:spacing w:after="0" w:line="480" w:lineRule="exact"/>
        <w:ind w:left="520"/>
      </w:pPr>
      <w:r>
        <w:rPr>
          <w:rStyle w:val="35"/>
          <w:color w:val="000000"/>
        </w:rPr>
        <w:t>пресечения</w:t>
      </w:r>
      <w:r>
        <w:rPr>
          <w:rStyle w:val="35"/>
          <w:color w:val="000000"/>
        </w:rPr>
        <w:tab/>
        <w:t>18</w:t>
      </w:r>
    </w:p>
    <w:p w14:paraId="3F6081C8" w14:textId="77777777" w:rsidR="00FA4D70" w:rsidRDefault="00FA4D70" w:rsidP="00FA4D70">
      <w:pPr>
        <w:pStyle w:val="34"/>
        <w:tabs>
          <w:tab w:val="right" w:leader="dot" w:pos="9402"/>
        </w:tabs>
        <w:spacing w:after="64" w:line="485" w:lineRule="exact"/>
        <w:ind w:left="520"/>
      </w:pPr>
      <w:hyperlink w:anchor="bookmark5" w:tooltip="Current Document" w:history="1">
        <w:r>
          <w:rPr>
            <w:rStyle w:val="35"/>
            <w:color w:val="000000"/>
          </w:rPr>
          <w:t>§ 2. Особенности законодательной конструкции меры пресечения в виде запрета определенных действий</w:t>
        </w:r>
        <w:r>
          <w:rPr>
            <w:rStyle w:val="35"/>
            <w:color w:val="000000"/>
          </w:rPr>
          <w:tab/>
          <w:t>39</w:t>
        </w:r>
      </w:hyperlink>
    </w:p>
    <w:p w14:paraId="745FAC32" w14:textId="77777777" w:rsidR="00FA4D70" w:rsidRDefault="00FA4D70" w:rsidP="00FA4D70">
      <w:pPr>
        <w:pStyle w:val="210"/>
        <w:shd w:val="clear" w:color="auto" w:fill="auto"/>
        <w:spacing w:line="480" w:lineRule="exact"/>
        <w:jc w:val="left"/>
      </w:pPr>
      <w:r>
        <w:fldChar w:fldCharType="end"/>
      </w:r>
      <w:r>
        <w:rPr>
          <w:rStyle w:val="21"/>
          <w:color w:val="000000"/>
        </w:rPr>
        <w:t>ГЛАВА 2. ОСНОВАНИЯ, УСЛОВИЯ И ПРОЦЕССУАЛЬНЫЙ ПОРЯДОК ПРИМЕНЕНИЯ МЕРЫ ПРЕСЕЧЕНИЯ В ВИДЕ ЗАПРЕТА ОПРЕДЕЛЕННЫХ ДЕЙСТВИЙ</w:t>
      </w:r>
    </w:p>
    <w:p w14:paraId="155DF280" w14:textId="77777777" w:rsidR="00FA4D70" w:rsidRDefault="00FA4D70" w:rsidP="00FA4D70">
      <w:pPr>
        <w:pStyle w:val="210"/>
        <w:shd w:val="clear" w:color="auto" w:fill="auto"/>
        <w:spacing w:line="480" w:lineRule="exact"/>
        <w:ind w:left="520"/>
        <w:jc w:val="both"/>
      </w:pPr>
      <w:r>
        <w:rPr>
          <w:rStyle w:val="21"/>
          <w:color w:val="000000"/>
        </w:rPr>
        <w:t>§ 1. Фактические и юридические предпосылки для применения</w:t>
      </w:r>
    </w:p>
    <w:p w14:paraId="502CE78C" w14:textId="77777777" w:rsidR="00FA4D70" w:rsidRDefault="00FA4D70" w:rsidP="00FA4D70">
      <w:pPr>
        <w:pStyle w:val="34"/>
        <w:tabs>
          <w:tab w:val="right" w:leader="dot" w:pos="9922"/>
        </w:tabs>
        <w:spacing w:after="0" w:line="480" w:lineRule="exact"/>
        <w:ind w:left="5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9" w:tooltip="Current Document" w:history="1">
        <w:r>
          <w:rPr>
            <w:rStyle w:val="35"/>
            <w:color w:val="000000"/>
          </w:rPr>
          <w:t>меры пресечения в виде запрета определенных действий</w:t>
        </w:r>
        <w:r>
          <w:rPr>
            <w:rStyle w:val="35"/>
            <w:color w:val="000000"/>
          </w:rPr>
          <w:tab/>
          <w:t>72</w:t>
        </w:r>
      </w:hyperlink>
    </w:p>
    <w:p w14:paraId="65BBD7E6" w14:textId="77777777" w:rsidR="00FA4D70" w:rsidRDefault="00FA4D70" w:rsidP="00FA4D70">
      <w:pPr>
        <w:pStyle w:val="34"/>
        <w:spacing w:after="0" w:line="480" w:lineRule="exact"/>
        <w:ind w:left="520"/>
      </w:pPr>
      <w:r>
        <w:rPr>
          <w:rStyle w:val="35"/>
          <w:color w:val="000000"/>
        </w:rPr>
        <w:t>§ 2. Процессуальный порядок применения меры пресечения</w:t>
      </w:r>
    </w:p>
    <w:p w14:paraId="72567DED" w14:textId="77777777" w:rsidR="00FA4D70" w:rsidRDefault="00FA4D70" w:rsidP="00FA4D70">
      <w:pPr>
        <w:pStyle w:val="34"/>
        <w:tabs>
          <w:tab w:val="right" w:leader="dot" w:pos="9922"/>
        </w:tabs>
        <w:spacing w:after="0" w:line="480" w:lineRule="exact"/>
        <w:ind w:left="520"/>
      </w:pPr>
      <w:r>
        <w:rPr>
          <w:rStyle w:val="35"/>
          <w:color w:val="000000"/>
        </w:rPr>
        <w:t>в виде запрета определенных действий</w:t>
      </w:r>
      <w:r>
        <w:rPr>
          <w:rStyle w:val="35"/>
          <w:color w:val="000000"/>
        </w:rPr>
        <w:tab/>
        <w:t>94</w:t>
      </w:r>
    </w:p>
    <w:p w14:paraId="7B29D219" w14:textId="77777777" w:rsidR="00FA4D70" w:rsidRDefault="00FA4D70" w:rsidP="00FA4D70">
      <w:pPr>
        <w:pStyle w:val="34"/>
        <w:tabs>
          <w:tab w:val="right" w:leader="dot" w:pos="9402"/>
        </w:tabs>
        <w:spacing w:after="220" w:line="480" w:lineRule="exact"/>
        <w:ind w:left="520"/>
      </w:pPr>
      <w:r>
        <w:rPr>
          <w:rStyle w:val="35"/>
          <w:color w:val="000000"/>
        </w:rPr>
        <w:t>§ 3. Организационно-правовые аспекты повышения эффективности применения меры пресечения в виде запрета определенных действий</w:t>
      </w:r>
      <w:r>
        <w:rPr>
          <w:rStyle w:val="35"/>
          <w:color w:val="000000"/>
        </w:rPr>
        <w:tab/>
        <w:t>130</w:t>
      </w:r>
    </w:p>
    <w:p w14:paraId="0E6E0398" w14:textId="77777777" w:rsidR="00FA4D70" w:rsidRDefault="00FA4D70" w:rsidP="00FA4D70">
      <w:pPr>
        <w:pStyle w:val="34"/>
        <w:tabs>
          <w:tab w:val="right" w:leader="dot" w:pos="9922"/>
        </w:tabs>
        <w:spacing w:after="272" w:line="280" w:lineRule="exact"/>
      </w:pPr>
      <w:hyperlink w:anchor="bookmark10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154</w:t>
        </w:r>
      </w:hyperlink>
    </w:p>
    <w:p w14:paraId="2D8C9119" w14:textId="77777777" w:rsidR="00FA4D70" w:rsidRDefault="00FA4D70" w:rsidP="00FA4D70">
      <w:pPr>
        <w:pStyle w:val="34"/>
        <w:tabs>
          <w:tab w:val="center" w:leader="dot" w:pos="9701"/>
        </w:tabs>
        <w:spacing w:after="272" w:line="280" w:lineRule="exact"/>
      </w:pPr>
      <w:r>
        <w:rPr>
          <w:rStyle w:val="35"/>
          <w:color w:val="000000"/>
        </w:rPr>
        <w:t>СПИСОК ИСПОЛЬЗОВАННЫХ ИСТОЧНИКОВ</w:t>
      </w:r>
      <w:r>
        <w:rPr>
          <w:rStyle w:val="35"/>
          <w:color w:val="000000"/>
        </w:rPr>
        <w:tab/>
        <w:t>160</w:t>
      </w:r>
    </w:p>
    <w:p w14:paraId="04A72C60" w14:textId="77D8C55B" w:rsidR="00FA4D70" w:rsidRDefault="00FA4D70" w:rsidP="00FA4D70">
      <w:pPr>
        <w:pStyle w:val="210"/>
        <w:shd w:val="clear" w:color="auto" w:fill="auto"/>
        <w:spacing w:line="280" w:lineRule="exact"/>
        <w:jc w:val="both"/>
        <w:sectPr w:rsidR="00FA4D70">
          <w:headerReference w:type="even" r:id="rId8"/>
          <w:headerReference w:type="default" r:id="rId9"/>
          <w:footnotePr>
            <w:numRestart w:val="eachPage"/>
          </w:footnotePr>
          <w:pgSz w:w="11900" w:h="16840"/>
          <w:pgMar w:top="1141" w:right="455" w:bottom="1497" w:left="1490" w:header="0" w:footer="3" w:gutter="0"/>
          <w:cols w:space="720"/>
          <w:noEndnote/>
          <w:titlePg/>
          <w:docGrid w:linePitch="360"/>
        </w:sectPr>
      </w:pP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2E56B81" wp14:editId="010D573F">
                <wp:simplePos x="0" y="0"/>
                <wp:positionH relativeFrom="margin">
                  <wp:posOffset>6047105</wp:posOffset>
                </wp:positionH>
                <wp:positionV relativeFrom="paragraph">
                  <wp:posOffset>-20320</wp:posOffset>
                </wp:positionV>
                <wp:extent cx="274320" cy="177800"/>
                <wp:effectExtent l="1905" t="635" r="0" b="2540"/>
                <wp:wrapSquare wrapText="left"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4E79D" w14:textId="77777777" w:rsidR="00FA4D70" w:rsidRDefault="00FA4D70" w:rsidP="00FA4D70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56B81" id="_x0000_t202" coordsize="21600,21600" o:spt="202" path="m,l,21600r21600,l21600,xe">
                <v:stroke joinstyle="miter"/>
                <v:path gradientshapeok="t" o:connecttype="rect"/>
              </v:shapetype>
              <v:shape id="Надпись 85" o:spid="_x0000_s1026" type="#_x0000_t202" style="position:absolute;left:0;text-align:left;margin-left:476.15pt;margin-top:-1.6pt;width:21.6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" filled="f" stroked="f">
                <v:textbox style="mso-fit-shape-to-text:t" inset="0,0,0,0">
                  <w:txbxContent>
                    <w:p w14:paraId="0A44E79D" w14:textId="77777777" w:rsidR="00FA4D70" w:rsidRDefault="00FA4D70" w:rsidP="00FA4D70">
                      <w:pPr>
                        <w:pStyle w:val="21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190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ПРИЛОЖЕНИЯ</w:t>
      </w:r>
    </w:p>
    <w:p w14:paraId="30C0C9FC" w14:textId="5BCB056C" w:rsidR="00CE0D3F" w:rsidRDefault="00CE0D3F" w:rsidP="00FA4D70"/>
    <w:p w14:paraId="169BE05F" w14:textId="74FB51B5" w:rsidR="00FA4D70" w:rsidRDefault="00FA4D70" w:rsidP="00FA4D70"/>
    <w:p w14:paraId="282B5EEB" w14:textId="77777777" w:rsidR="00FA4D70" w:rsidRDefault="00FA4D70" w:rsidP="00FA4D70">
      <w:pPr>
        <w:pStyle w:val="321"/>
        <w:keepNext/>
        <w:keepLines/>
        <w:shd w:val="clear" w:color="auto" w:fill="auto"/>
        <w:spacing w:after="107" w:line="280" w:lineRule="exact"/>
      </w:pPr>
      <w:bookmarkStart w:id="2" w:name="bookmark10"/>
      <w:r>
        <w:rPr>
          <w:rStyle w:val="320"/>
          <w:color w:val="000000"/>
        </w:rPr>
        <w:t>ЗАКЛЮЧЕНИЕ</w:t>
      </w:r>
      <w:bookmarkEnd w:id="2"/>
    </w:p>
    <w:p w14:paraId="22E53437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Государственное принуждение является одним из ключевых механизмов реализации правовых норм в уголовном судопроизводстве. Институт мер пресе</w:t>
      </w:r>
      <w:r>
        <w:rPr>
          <w:rStyle w:val="21"/>
          <w:color w:val="000000"/>
        </w:rPr>
        <w:softHyphen/>
        <w:t>чения характеризуется тем, что призван обеспечить правомерное поведение обви</w:t>
      </w:r>
      <w:r>
        <w:rPr>
          <w:rStyle w:val="21"/>
          <w:color w:val="000000"/>
        </w:rPr>
        <w:softHyphen/>
        <w:t>няемого (подозреваемого) в ходе всего производства по делу, служить превентив</w:t>
      </w:r>
      <w:r>
        <w:rPr>
          <w:rStyle w:val="21"/>
          <w:color w:val="000000"/>
        </w:rPr>
        <w:softHyphen/>
        <w:t>ным задачам, а обеспечение публичных интересов и задач правосудия может со</w:t>
      </w:r>
      <w:r>
        <w:rPr>
          <w:rStyle w:val="21"/>
          <w:color w:val="000000"/>
        </w:rPr>
        <w:softHyphen/>
        <w:t>провождаться ограничением целого ряда прав и свобод личности.</w:t>
      </w:r>
    </w:p>
    <w:p w14:paraId="4E10E976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Поиск разумного баланса публичных и частных интересов при выборе той или иной меры пресечения обеспечивается усилиями законодателя по установле</w:t>
      </w:r>
      <w:r>
        <w:rPr>
          <w:rStyle w:val="21"/>
          <w:color w:val="000000"/>
        </w:rPr>
        <w:softHyphen/>
        <w:t>нию гибкой системы мер пресечения, способной не только решать задачи, стоя</w:t>
      </w:r>
      <w:r>
        <w:rPr>
          <w:rStyle w:val="21"/>
          <w:color w:val="000000"/>
        </w:rPr>
        <w:softHyphen/>
        <w:t>щие перед органами, осуществляющими производство по уголовному делу, но и служить механизмом, гарантирующим минимальное воздействие на личность субъекта, вовлеченного в уголовный процесс. Залогом успешной реализации ком</w:t>
      </w:r>
      <w:r>
        <w:rPr>
          <w:rStyle w:val="21"/>
          <w:color w:val="000000"/>
        </w:rPr>
        <w:softHyphen/>
        <w:t>плексных задач уголовного судопроизводства является реформирование системы мер пресечения, оснований и порядка их применения, позволяющее применять индивидуальный подход в правовом регулировании. Представляется, что новая мера пресечения в виде запрета определенных действий, призванная стать альтер</w:t>
      </w:r>
      <w:r>
        <w:rPr>
          <w:rStyle w:val="21"/>
          <w:color w:val="000000"/>
        </w:rPr>
        <w:softHyphen/>
        <w:t xml:space="preserve">нативой заключению под стражу как самой строгой мере пресечения, также носит более гибкий характер по сравнению с домашним арестом, и способна занять свое место в отечественной системе мер пресечения. А ее </w:t>
      </w:r>
      <w:r>
        <w:rPr>
          <w:rStyle w:val="21"/>
          <w:color w:val="000000"/>
        </w:rPr>
        <w:lastRenderedPageBreak/>
        <w:t>появление в российском уго</w:t>
      </w:r>
      <w:r>
        <w:rPr>
          <w:rStyle w:val="21"/>
          <w:color w:val="000000"/>
        </w:rPr>
        <w:softHyphen/>
        <w:t>ловно-процессуальном законодательстве можно рассматривать в качестве пози</w:t>
      </w:r>
      <w:r>
        <w:rPr>
          <w:rStyle w:val="21"/>
          <w:color w:val="000000"/>
        </w:rPr>
        <w:softHyphen/>
        <w:t>тивного шага в направлении гуманизации и индивидуализации отечественного уголовного процесса.</w:t>
      </w:r>
    </w:p>
    <w:p w14:paraId="79D938A4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Применение мер пресечения при производстве по уголовному делу обеспе</w:t>
      </w:r>
      <w:r>
        <w:rPr>
          <w:rStyle w:val="21"/>
          <w:color w:val="000000"/>
        </w:rPr>
        <w:softHyphen/>
        <w:t>чивает достижение определенных задач и реализацию назначения уголовного су</w:t>
      </w:r>
      <w:r>
        <w:rPr>
          <w:rStyle w:val="21"/>
          <w:color w:val="000000"/>
        </w:rPr>
        <w:softHyphen/>
        <w:t>допроизводства в целом. Однако на протяжении длительного времени наиболее используемыми у правоприменителей были и остаются такие меры пресечения, как заключение под стражу и подписка о невыезде и надлежащем поведении. По</w:t>
      </w:r>
      <w:r>
        <w:rPr>
          <w:rStyle w:val="21"/>
          <w:color w:val="000000"/>
        </w:rPr>
        <w:softHyphen/>
        <w:t>явление новых мер пресечения призвано, по замыслу законодателя, снизить час</w:t>
      </w:r>
      <w:r>
        <w:rPr>
          <w:rStyle w:val="21"/>
          <w:color w:val="000000"/>
        </w:rPr>
        <w:softHyphen/>
        <w:t>тоту применения наиболее строгой меры пресечения — заключения под стражу, чтобы в дальнейшем она приобрела статус не основной, а исключительной. По</w:t>
      </w:r>
      <w:r>
        <w:rPr>
          <w:rStyle w:val="21"/>
          <w:color w:val="000000"/>
        </w:rPr>
        <w:softHyphen/>
        <w:t>стоянное развитие системы мер пресечения позволяет не только решать задачи уголовного судопроизводства, но и обеспечивать экономические интересы госу</w:t>
      </w:r>
      <w:r>
        <w:rPr>
          <w:rStyle w:val="21"/>
          <w:color w:val="000000"/>
        </w:rPr>
        <w:softHyphen/>
        <w:t>дарства, снижая затраты, связанные с применением заключения под стражу. На</w:t>
      </w:r>
      <w:r>
        <w:rPr>
          <w:rStyle w:val="21"/>
          <w:color w:val="000000"/>
        </w:rPr>
        <w:softHyphen/>
        <w:t>прямую с этим связаны и процессуальные интересы, направленные на обеспече</w:t>
      </w:r>
      <w:r>
        <w:rPr>
          <w:rStyle w:val="21"/>
          <w:color w:val="000000"/>
        </w:rPr>
        <w:softHyphen/>
        <w:t>ние разумных сроков судопроизводства с сокращением воздействия на участни</w:t>
      </w:r>
      <w:r>
        <w:rPr>
          <w:rStyle w:val="21"/>
          <w:color w:val="000000"/>
        </w:rPr>
        <w:softHyphen/>
        <w:t>ков уголовного процесса.</w:t>
      </w:r>
    </w:p>
    <w:p w14:paraId="1D5EF78C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Краткосрочный период применения запрета определенных действий позво</w:t>
      </w:r>
      <w:r>
        <w:rPr>
          <w:rStyle w:val="21"/>
          <w:color w:val="000000"/>
        </w:rPr>
        <w:softHyphen/>
        <w:t>ляет сформулировать вывод, что введение данной меры пресечения в настоящее время не привело к значимому сокращению числа лиц, содержащихся под стра</w:t>
      </w:r>
      <w:r>
        <w:rPr>
          <w:rStyle w:val="21"/>
          <w:color w:val="000000"/>
        </w:rPr>
        <w:softHyphen/>
        <w:t xml:space="preserve">жей. Причин тому несколько, в их числе и непродолжительный период действия новой меры пресечения, и стереотипные подходы правоприменителей, и пробелы правового регулирования. Нельзя не учитывать, что эффективность любой меры процессуального принуждения, в том числе, меры пресечения, </w:t>
      </w:r>
      <w:r>
        <w:rPr>
          <w:rStyle w:val="21"/>
          <w:color w:val="000000"/>
        </w:rPr>
        <w:lastRenderedPageBreak/>
        <w:t>обеспечивается контролем ее исполнения, тогда как осуществление контроля за исполнением за</w:t>
      </w:r>
      <w:r>
        <w:rPr>
          <w:rStyle w:val="21"/>
          <w:color w:val="000000"/>
        </w:rPr>
        <w:softHyphen/>
        <w:t>прета определенных действий изначально вызывало вопросы, которые пока не разрешены, несмотря на принятие нескольких межведомственных актов. Следует отметить, что потребность в различных электронных, аудиовизуальных и иных технических средствах контроля также подразумевает существенные затраты, вполне сопоставимые с расходами, связанными с применением в отношении по</w:t>
      </w:r>
      <w:r>
        <w:rPr>
          <w:rStyle w:val="21"/>
          <w:color w:val="000000"/>
        </w:rPr>
        <w:softHyphen/>
        <w:t>дозреваемых (обвиняемых, подсудимых) домашнего ареста, содержания под стражей.</w:t>
      </w:r>
    </w:p>
    <w:p w14:paraId="5F4B7506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Между тем не стоит сводить вопросы оценки эффективности лишь к мате</w:t>
      </w:r>
      <w:r>
        <w:rPr>
          <w:rStyle w:val="21"/>
          <w:color w:val="000000"/>
        </w:rPr>
        <w:softHyphen/>
        <w:t>риальным (в том числе, финансовым и количественным) показателям. Самым главным положительным результатом введения запрета определенных действий следует признать обретение системой мер пресечения отечественного уголовного процесса определенной гибкости в вопросе выбора той меры пресечения, которая позволит максимально полно учесть как публичные интересы уголовного право</w:t>
      </w:r>
      <w:r>
        <w:rPr>
          <w:rStyle w:val="21"/>
          <w:color w:val="000000"/>
        </w:rPr>
        <w:softHyphen/>
        <w:t>судия, так и личные интересы лица, еще не признанного виновным, но уже вовле</w:t>
      </w:r>
      <w:r>
        <w:rPr>
          <w:rStyle w:val="21"/>
          <w:color w:val="000000"/>
        </w:rPr>
        <w:softHyphen/>
        <w:t>ченного в уголовное судопроизводство. Появление еще одной меры пресечения повлияло и на подходы к избранию других мер пресечения, впервые позволив при избрании отдельных из них комбинировать запреты и ограничения, преследуя, с одной стороны, цели снижения воздействия на подозреваемых (обвиняемых, под</w:t>
      </w:r>
      <w:r>
        <w:rPr>
          <w:rStyle w:val="21"/>
          <w:color w:val="000000"/>
        </w:rPr>
        <w:softHyphen/>
        <w:t>судимых), с другой — создания условий для нормального хода производства по уголовному делу.</w:t>
      </w:r>
    </w:p>
    <w:p w14:paraId="6CD545BD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Как свидетельствует судебная практика, судами апелляционных инстанций при проверке законности избрания, а чаще всего — продления срока действия за</w:t>
      </w:r>
      <w:r>
        <w:rPr>
          <w:rStyle w:val="21"/>
          <w:color w:val="000000"/>
        </w:rPr>
        <w:softHyphen/>
        <w:t xml:space="preserve">ключения под стражу, домашнего ареста, регулярно применяется </w:t>
      </w:r>
      <w:r>
        <w:rPr>
          <w:rStyle w:val="21"/>
          <w:color w:val="000000"/>
        </w:rPr>
        <w:lastRenderedPageBreak/>
        <w:t>запрет опреде</w:t>
      </w:r>
      <w:r>
        <w:rPr>
          <w:rStyle w:val="21"/>
          <w:color w:val="000000"/>
        </w:rPr>
        <w:softHyphen/>
        <w:t>ленных действий. Встречаются и обратные примеры, когда суды первой инстан</w:t>
      </w:r>
      <w:r>
        <w:rPr>
          <w:rStyle w:val="21"/>
          <w:color w:val="000000"/>
        </w:rPr>
        <w:softHyphen/>
        <w:t>ции полагают возможным применять более мягкие меры пресечения, к примеру, подписку о невыезде и надлежащем поведении, тогда как суды второй инстанции, усматривая риск применения более мягкой меры пресечения как неэффективной, избирают запрет определенных действий.</w:t>
      </w:r>
    </w:p>
    <w:p w14:paraId="4CE14657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Основной проблемой низкой востребованности запрета определенных дей</w:t>
      </w:r>
      <w:r>
        <w:rPr>
          <w:rStyle w:val="21"/>
          <w:color w:val="000000"/>
        </w:rPr>
        <w:softHyphen/>
        <w:t>ствий, как меры пресечения, в практике правоприменителя принято считать сложность процедуры ее применения. Между тем, учитывая интенсивность воз</w:t>
      </w:r>
      <w:r>
        <w:rPr>
          <w:rStyle w:val="21"/>
          <w:color w:val="000000"/>
        </w:rPr>
        <w:softHyphen/>
        <w:t>действия данной меры пресечения на конституционные права и свободы гражда</w:t>
      </w:r>
      <w:r>
        <w:rPr>
          <w:rStyle w:val="21"/>
          <w:color w:val="000000"/>
        </w:rPr>
        <w:softHyphen/>
        <w:t>нина, следует признать, что законодатель обоснованно предусмотрел судебный порядок применения данной меры, который служит дополнительной гарантией соблюдения прав и законных интересов участников процесса.</w:t>
      </w:r>
    </w:p>
    <w:p w14:paraId="795459FC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Сохраняются проблемы учета интересов других лиц, которые могут и не иметь процессуального статуса по уголовному делу, но их законные интересы за</w:t>
      </w:r>
      <w:r>
        <w:rPr>
          <w:rStyle w:val="21"/>
          <w:color w:val="000000"/>
        </w:rPr>
        <w:softHyphen/>
        <w:t>трагиваются избранием той или иной меры пресечения в ходе уголовного судо</w:t>
      </w:r>
      <w:r>
        <w:rPr>
          <w:rStyle w:val="21"/>
          <w:color w:val="000000"/>
        </w:rPr>
        <w:softHyphen/>
        <w:t>производства. Так, необходимость обеспечения контроля за соблюдением ряда запретов может привести к установлению технических средств по месту прожи</w:t>
      </w:r>
      <w:r>
        <w:rPr>
          <w:rStyle w:val="21"/>
          <w:color w:val="000000"/>
        </w:rPr>
        <w:softHyphen/>
        <w:t>вания обвиняемого, что может затронуть и интересы лиц, совместно с ним про</w:t>
      </w:r>
      <w:r>
        <w:rPr>
          <w:rStyle w:val="21"/>
          <w:color w:val="000000"/>
        </w:rPr>
        <w:softHyphen/>
        <w:t>живающих. Представляется, что также в качестве гарантии соблюдения интересов совместно проживающих лиц следует предусмотреть получение их согласия на установку технических средств контроля.</w:t>
      </w:r>
    </w:p>
    <w:p w14:paraId="340D0558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Несмотря на полемику в научной литературе об определенном сходстве за</w:t>
      </w:r>
      <w:r>
        <w:rPr>
          <w:rStyle w:val="21"/>
          <w:color w:val="000000"/>
        </w:rPr>
        <w:softHyphen/>
        <w:t xml:space="preserve">прета определенных действий с другими мерами пресечения, представляется, </w:t>
      </w:r>
      <w:r>
        <w:rPr>
          <w:rStyle w:val="21"/>
          <w:color w:val="000000"/>
        </w:rPr>
        <w:lastRenderedPageBreak/>
        <w:t>что это не ставит под сомнение ее самостоятельность. Безусловно, введению запрета определенных действий предшествовало развитие системы мер пресечения в це</w:t>
      </w:r>
      <w:r>
        <w:rPr>
          <w:rStyle w:val="21"/>
          <w:color w:val="000000"/>
        </w:rPr>
        <w:softHyphen/>
        <w:t>лом, и можно рассматривать появление новой меры не только как трансформацию домашнего ареста, но и как ответ на потребность в индивидуализации правового регулирования. Мы считаем, что запрет определенных действий обоснованно за</w:t>
      </w:r>
      <w:r>
        <w:rPr>
          <w:rStyle w:val="21"/>
          <w:color w:val="000000"/>
        </w:rPr>
        <w:softHyphen/>
        <w:t>нимает свое место в системе мер процессуального принуждения.</w:t>
      </w:r>
    </w:p>
    <w:p w14:paraId="7292D0EA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Нельзя отрицать очевидный эффект восприятия практикой применения за</w:t>
      </w:r>
      <w:r>
        <w:rPr>
          <w:rStyle w:val="21"/>
          <w:color w:val="000000"/>
        </w:rPr>
        <w:softHyphen/>
        <w:t>претов, предусмотренных в ч. 6 ст. 105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УПК РФ, наряду с иными мерами пресе</w:t>
      </w:r>
      <w:r>
        <w:rPr>
          <w:rStyle w:val="21"/>
          <w:color w:val="000000"/>
        </w:rPr>
        <w:softHyphen/>
        <w:t>чения. Одновременное применение запретов и ограничений не меняет суть из</w:t>
      </w:r>
      <w:r>
        <w:rPr>
          <w:rStyle w:val="21"/>
          <w:color w:val="000000"/>
        </w:rPr>
        <w:softHyphen/>
        <w:t>бранных мер пресечения, позволяет их комбинировать в зависимости от конкрет</w:t>
      </w:r>
      <w:r>
        <w:rPr>
          <w:rStyle w:val="21"/>
          <w:color w:val="000000"/>
        </w:rPr>
        <w:softHyphen/>
        <w:t>ной ситуации, что соответствует задачам индивидуального подхода в выборе эф</w:t>
      </w:r>
      <w:r>
        <w:rPr>
          <w:rStyle w:val="21"/>
          <w:color w:val="000000"/>
        </w:rPr>
        <w:softHyphen/>
        <w:t>фективных средств воздействия на личность, с одной стороны, и создания надле</w:t>
      </w:r>
      <w:r>
        <w:rPr>
          <w:rStyle w:val="21"/>
          <w:color w:val="000000"/>
        </w:rPr>
        <w:softHyphen/>
        <w:t>жащих условий осуществления производства по уголовному делу — с другой.</w:t>
      </w:r>
    </w:p>
    <w:p w14:paraId="056599F2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Применение запретов одновременно с домашним арестом и залогом, как новелла в уголовно-процессуальном законе, вызывает дискуссии в научном сооб</w:t>
      </w:r>
      <w:r>
        <w:rPr>
          <w:rStyle w:val="21"/>
          <w:color w:val="000000"/>
        </w:rPr>
        <w:softHyphen/>
        <w:t>ществе. Занимая позицию сторонников указанного нововведения, мы предлагаем распространить такую возможность и на иные меры пресечения, за исключением заключения под стражу, сохраняя процессуальную гарантию применения запре</w:t>
      </w:r>
      <w:r>
        <w:rPr>
          <w:rStyle w:val="21"/>
          <w:color w:val="000000"/>
        </w:rPr>
        <w:softHyphen/>
        <w:t>тов исключительно по судебному решению.</w:t>
      </w:r>
    </w:p>
    <w:p w14:paraId="25CF92FC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Учитывая, что имущественные интересы и интересы личной свободы имеют различные социальные ценности, представляется, что запрет определенных дей</w:t>
      </w:r>
      <w:r>
        <w:rPr>
          <w:rStyle w:val="21"/>
          <w:color w:val="000000"/>
        </w:rPr>
        <w:softHyphen/>
        <w:t xml:space="preserve">ствий в системе мер пресечения логично расположить в </w:t>
      </w:r>
      <w:r>
        <w:rPr>
          <w:rStyle w:val="21"/>
          <w:color w:val="000000"/>
        </w:rPr>
        <w:lastRenderedPageBreak/>
        <w:t>структуре УПК РФ сле</w:t>
      </w:r>
      <w:r>
        <w:rPr>
          <w:rStyle w:val="21"/>
          <w:color w:val="000000"/>
        </w:rPr>
        <w:softHyphen/>
        <w:t>дом за залогом. Так, запрет выходить в определенные периоды времени за преде</w:t>
      </w:r>
      <w:r>
        <w:rPr>
          <w:rStyle w:val="21"/>
          <w:color w:val="000000"/>
        </w:rPr>
        <w:softHyphen/>
        <w:t>лы жилого помещения, в котором обвиняемый (подозреваемый) проживает в ка</w:t>
      </w:r>
      <w:r>
        <w:rPr>
          <w:rStyle w:val="21"/>
          <w:color w:val="000000"/>
        </w:rPr>
        <w:softHyphen/>
        <w:t>честве собственника, нанимателя либо на иных законных основаниях, применяе</w:t>
      </w:r>
      <w:r>
        <w:rPr>
          <w:rStyle w:val="21"/>
          <w:color w:val="000000"/>
        </w:rPr>
        <w:softHyphen/>
        <w:t>мый одновременно с залогом, более существенно затрагивает права личности, нежели имущественные обязательства, обеспечивающие его правомерное поведе</w:t>
      </w:r>
      <w:r>
        <w:rPr>
          <w:rStyle w:val="21"/>
          <w:color w:val="000000"/>
        </w:rPr>
        <w:softHyphen/>
        <w:t>ние при залоге без такого запрета.</w:t>
      </w:r>
    </w:p>
    <w:p w14:paraId="27469E9F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Запрет определенных действий имеет перспективы применения к несовер</w:t>
      </w:r>
      <w:r>
        <w:rPr>
          <w:rStyle w:val="21"/>
          <w:color w:val="000000"/>
        </w:rPr>
        <w:softHyphen/>
        <w:t>шеннолетним подозреваемым (обвиняемым), при этом важно обеспечить продол</w:t>
      </w:r>
      <w:r>
        <w:rPr>
          <w:rStyle w:val="21"/>
          <w:color w:val="000000"/>
        </w:rPr>
        <w:softHyphen/>
        <w:t>жение реализации права на образование, досуг, отдых и общение подростка с ро</w:t>
      </w:r>
      <w:r>
        <w:rPr>
          <w:rStyle w:val="21"/>
          <w:color w:val="000000"/>
        </w:rPr>
        <w:softHyphen/>
        <w:t>дителями или иными значимыми близкими лицами в воспитательных и превен</w:t>
      </w:r>
      <w:r>
        <w:rPr>
          <w:rStyle w:val="21"/>
          <w:color w:val="000000"/>
        </w:rPr>
        <w:softHyphen/>
        <w:t>тивных целях.</w:t>
      </w:r>
    </w:p>
    <w:p w14:paraId="5B4001C4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При избрании запрета определенных действий требует корректировки реали</w:t>
      </w:r>
      <w:r>
        <w:rPr>
          <w:rStyle w:val="21"/>
          <w:color w:val="000000"/>
        </w:rPr>
        <w:softHyphen/>
        <w:t>зация принципа права на защиту путем беспрепятственного общения с защитни</w:t>
      </w:r>
      <w:r>
        <w:rPr>
          <w:rStyle w:val="21"/>
          <w:color w:val="000000"/>
        </w:rPr>
        <w:softHyphen/>
        <w:t>ком. Указание конкретного перечня лиц, с которыми запрещено общение, также повысит эффективность реализации и контроля запрета определенных действий.</w:t>
      </w:r>
    </w:p>
    <w:p w14:paraId="4190AB66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порядке контроля за данной мерой пресечения имеет смысл предусмот</w:t>
      </w:r>
      <w:r>
        <w:rPr>
          <w:rStyle w:val="21"/>
          <w:color w:val="000000"/>
        </w:rPr>
        <w:softHyphen/>
        <w:t>реть правомочия лица, производящего предварительное расследование по уголов</w:t>
      </w:r>
      <w:r>
        <w:rPr>
          <w:rStyle w:val="21"/>
          <w:color w:val="000000"/>
        </w:rPr>
        <w:softHyphen/>
        <w:t>ному делу, на осмотр и выемку почтово-телеграфных отправлений, контроль и за</w:t>
      </w:r>
      <w:r>
        <w:rPr>
          <w:rStyle w:val="21"/>
          <w:color w:val="000000"/>
        </w:rPr>
        <w:softHyphen/>
        <w:t>пись телефонных переговоров в рамках исполнения запретов и ограничений, пре</w:t>
      </w:r>
      <w:r>
        <w:rPr>
          <w:rStyle w:val="21"/>
          <w:color w:val="000000"/>
        </w:rPr>
        <w:softHyphen/>
        <w:t>дусмотренных пп. 4-6 ст. 105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УПК РФ.</w:t>
      </w:r>
    </w:p>
    <w:p w14:paraId="660C30CF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Возложение функций контроля на должностных лиц органов внутренних дел с учетом должностного регламента позволит повысить эффективность меры пресечения в виде запрета определенных действий при наложении некоторых запретов.</w:t>
      </w:r>
    </w:p>
    <w:p w14:paraId="7CB95D59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Также считаем целесообразным урегулировать правила зачета пребывания под запретом определенных действий при назначении наказания, в том числе при запрете на управление автомобилем и транспортным средством.</w:t>
      </w:r>
    </w:p>
    <w:p w14:paraId="6E3F0B9A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Предложения по результатам исследования обозначенных проблем аккуму</w:t>
      </w:r>
      <w:r>
        <w:rPr>
          <w:rStyle w:val="21"/>
          <w:color w:val="000000"/>
        </w:rPr>
        <w:softHyphen/>
        <w:t>лированы в законопроекте (прил. 4).</w:t>
      </w:r>
    </w:p>
    <w:p w14:paraId="03ACFEEC" w14:textId="77777777" w:rsidR="00FA4D70" w:rsidRDefault="00FA4D70" w:rsidP="00FA4D7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Появление в системе мер пресечения альтернатив можно только приветство</w:t>
      </w:r>
      <w:r>
        <w:rPr>
          <w:rStyle w:val="21"/>
          <w:color w:val="000000"/>
        </w:rPr>
        <w:softHyphen/>
        <w:t>вать, а мониторинг правоприменительной практики позволит оптимизировать сис</w:t>
      </w:r>
      <w:r>
        <w:rPr>
          <w:rStyle w:val="21"/>
          <w:color w:val="000000"/>
        </w:rPr>
        <w:softHyphen/>
        <w:t>тему мер пресечения, определив в ней роль запрета определенных действий в целях обеспечения более гибкого подхода к каждому участнику уголовного процесса.</w:t>
      </w:r>
    </w:p>
    <w:p w14:paraId="687A8B9B" w14:textId="1EBC4D79" w:rsidR="00FA4D70" w:rsidRPr="00FA4D70" w:rsidRDefault="00FA4D70" w:rsidP="00FA4D70">
      <w:r>
        <w:rPr>
          <w:rStyle w:val="21"/>
          <w:color w:val="000000"/>
        </w:rPr>
        <w:t>Необходимость дальнейшего исследования вопроса о содержании и порядке применения запретов, предусмотренных ст. 105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УПК РФ, в уголовном судопро</w:t>
      </w:r>
      <w:r>
        <w:rPr>
          <w:rStyle w:val="21"/>
          <w:color w:val="000000"/>
        </w:rPr>
        <w:softHyphen/>
        <w:t>изводстве обусловлена его публично-правовым характером, наличием неразрыв</w:t>
      </w:r>
      <w:r>
        <w:rPr>
          <w:rStyle w:val="21"/>
          <w:color w:val="000000"/>
        </w:rPr>
        <w:softHyphen/>
        <w:t>ной связи между успешностью проведения процессуальных действий и необхо</w:t>
      </w:r>
      <w:r>
        <w:rPr>
          <w:rStyle w:val="21"/>
          <w:color w:val="000000"/>
        </w:rPr>
        <w:softHyphen/>
        <w:t>димостью обеспечения их производства принудительными мерами, а также не</w:t>
      </w:r>
      <w:r>
        <w:rPr>
          <w:rStyle w:val="21"/>
          <w:color w:val="000000"/>
        </w:rPr>
        <w:softHyphen/>
        <w:t>прерывным научно-техническим прогрессом, постоянно предлагающим новые возможности для их использования в целях назначения уголовного судопроизвод</w:t>
      </w:r>
      <w:r>
        <w:rPr>
          <w:rStyle w:val="21"/>
          <w:color w:val="000000"/>
        </w:rPr>
        <w:softHyphen/>
        <w:t>ства. В связи с вышеизложенным представляется необходимым дальнейшее изу</w:t>
      </w:r>
      <w:r>
        <w:rPr>
          <w:rStyle w:val="21"/>
          <w:color w:val="000000"/>
        </w:rPr>
        <w:softHyphen/>
        <w:t>чение меры пресечения в виде запрета определенных действий и, возможно, рас</w:t>
      </w:r>
      <w:r>
        <w:rPr>
          <w:rStyle w:val="21"/>
          <w:color w:val="000000"/>
        </w:rPr>
        <w:softHyphen/>
        <w:t>ширение содержания ограничительных мер и сферы их применения в уголовном судопроизводстве в части применения видеоконференцсвязи на этапе досудебно</w:t>
      </w:r>
      <w:r>
        <w:rPr>
          <w:rStyle w:val="21"/>
          <w:color w:val="000000"/>
        </w:rPr>
        <w:softHyphen/>
        <w:t xml:space="preserve">го производства, анализ и </w:t>
      </w:r>
      <w:r>
        <w:rPr>
          <w:rStyle w:val="21"/>
          <w:color w:val="000000"/>
        </w:rPr>
        <w:lastRenderedPageBreak/>
        <w:t>систематизация дополнительных ограничений, запретов и обязательств, применяемых в законодательстве зарубежных стран, обзор подхо</w:t>
      </w:r>
      <w:r>
        <w:rPr>
          <w:rStyle w:val="21"/>
          <w:color w:val="000000"/>
        </w:rPr>
        <w:softHyphen/>
        <w:t>дов к оптимизации мер пресечения, не связанных с заключением под стражу, реа</w:t>
      </w:r>
      <w:r>
        <w:rPr>
          <w:rStyle w:val="21"/>
          <w:color w:val="000000"/>
        </w:rPr>
        <w:softHyphen/>
        <w:t>лизованных в правовых системах иностранных государств</w:t>
      </w:r>
    </w:p>
    <w:sectPr w:rsidR="00FA4D70" w:rsidRPr="00FA4D70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9E01" w14:textId="77777777" w:rsidR="00554118" w:rsidRDefault="00554118">
      <w:pPr>
        <w:spacing w:after="0" w:line="240" w:lineRule="auto"/>
      </w:pPr>
      <w:r>
        <w:separator/>
      </w:r>
    </w:p>
  </w:endnote>
  <w:endnote w:type="continuationSeparator" w:id="0">
    <w:p w14:paraId="4A1C8257" w14:textId="77777777" w:rsidR="00554118" w:rsidRDefault="005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84D0" w14:textId="77777777" w:rsidR="00554118" w:rsidRDefault="00554118">
      <w:pPr>
        <w:spacing w:after="0" w:line="240" w:lineRule="auto"/>
      </w:pPr>
      <w:r>
        <w:separator/>
      </w:r>
    </w:p>
  </w:footnote>
  <w:footnote w:type="continuationSeparator" w:id="0">
    <w:p w14:paraId="04C7DA6B" w14:textId="77777777" w:rsidR="00554118" w:rsidRDefault="0055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E166" w14:textId="053DC283" w:rsidR="00FA4D70" w:rsidRDefault="00FA4D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C5E0C82" wp14:editId="27550F6E">
              <wp:simplePos x="0" y="0"/>
              <wp:positionH relativeFrom="page">
                <wp:posOffset>3993515</wp:posOffset>
              </wp:positionH>
              <wp:positionV relativeFrom="page">
                <wp:posOffset>487680</wp:posOffset>
              </wp:positionV>
              <wp:extent cx="70485" cy="160655"/>
              <wp:effectExtent l="2540" t="1905" r="3175" b="0"/>
              <wp:wrapNone/>
              <wp:docPr id="87" name="Надпись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F2410" w14:textId="77777777" w:rsidR="00FA4D70" w:rsidRDefault="00FA4D7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E0C82" id="_x0000_t202" coordsize="21600,21600" o:spt="202" path="m,l,21600r21600,l21600,xe">
              <v:stroke joinstyle="miter"/>
              <v:path gradientshapeok="t" o:connecttype="rect"/>
            </v:shapetype>
            <v:shape id="Надпись 87" o:spid="_x0000_s1027" type="#_x0000_t202" style="position:absolute;margin-left:314.45pt;margin-top:38.4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" filled="f" stroked="f">
              <v:textbox style="mso-fit-shape-to-text:t" inset="0,0,0,0">
                <w:txbxContent>
                  <w:p w14:paraId="68EF2410" w14:textId="77777777" w:rsidR="00FA4D70" w:rsidRDefault="00FA4D7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66FD" w14:textId="47A0A8D9" w:rsidR="00FA4D70" w:rsidRDefault="00FA4D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F12A274" wp14:editId="6805F54E">
              <wp:simplePos x="0" y="0"/>
              <wp:positionH relativeFrom="page">
                <wp:posOffset>3993515</wp:posOffset>
              </wp:positionH>
              <wp:positionV relativeFrom="page">
                <wp:posOffset>487680</wp:posOffset>
              </wp:positionV>
              <wp:extent cx="70485" cy="160655"/>
              <wp:effectExtent l="2540" t="1905" r="3175" b="0"/>
              <wp:wrapNone/>
              <wp:docPr id="86" name="Надпись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7778B" w14:textId="77777777" w:rsidR="00FA4D70" w:rsidRDefault="00FA4D7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2A274" id="_x0000_t202" coordsize="21600,21600" o:spt="202" path="m,l,21600r21600,l21600,xe">
              <v:stroke joinstyle="miter"/>
              <v:path gradientshapeok="t" o:connecttype="rect"/>
            </v:shapetype>
            <v:shape id="Надпись 86" o:spid="_x0000_s1028" type="#_x0000_t202" style="position:absolute;margin-left:314.45pt;margin-top:38.4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" filled="f" stroked="f">
              <v:textbox style="mso-fit-shape-to-text:t" inset="0,0,0,0">
                <w:txbxContent>
                  <w:p w14:paraId="3947778B" w14:textId="77777777" w:rsidR="00FA4D70" w:rsidRDefault="00FA4D7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1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118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69618</TotalTime>
  <Pages>11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</cp:revision>
  <dcterms:created xsi:type="dcterms:W3CDTF">2024-06-20T08:51:00Z</dcterms:created>
  <dcterms:modified xsi:type="dcterms:W3CDTF">2024-09-01T12:19:00Z</dcterms:modified>
  <cp:category/>
</cp:coreProperties>
</file>