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2E" w:rsidRDefault="00AB3D2E" w:rsidP="00AB3D2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Чжан Ювень</w:t>
      </w:r>
      <w:r>
        <w:rPr>
          <w:rFonts w:ascii="CIDFont+F3" w:hAnsi="CIDFont+F3" w:cs="CIDFont+F3"/>
          <w:kern w:val="0"/>
          <w:sz w:val="28"/>
          <w:szCs w:val="28"/>
          <w:lang w:eastAsia="ru-RU"/>
        </w:rPr>
        <w:t>, аспірантка Харківського національного педагогічного</w:t>
      </w:r>
    </w:p>
    <w:p w:rsidR="00AB3D2E" w:rsidRDefault="00AB3D2E" w:rsidP="00AB3D2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Г. С. Сковороди, тема дисертації: «Формування</w:t>
      </w:r>
    </w:p>
    <w:p w:rsidR="00AB3D2E" w:rsidRDefault="00AB3D2E" w:rsidP="00AB3D2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полікультурної компетентності студентів в університетах КНР», (011</w:t>
      </w:r>
    </w:p>
    <w:p w:rsidR="00AB3D2E" w:rsidRDefault="00AB3D2E" w:rsidP="00AB3D2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Освітні, педагогічні науки). Спеціалізована вчена рада ДФ 64.053.001 у</w:t>
      </w:r>
    </w:p>
    <w:p w:rsidR="00AB3D2E" w:rsidRDefault="00AB3D2E" w:rsidP="00AB3D2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Харківському національному педагогічному університеті імені Г. С.</w:t>
      </w:r>
    </w:p>
    <w:p w:rsidR="003033B6" w:rsidRPr="00AB3D2E" w:rsidRDefault="00AB3D2E" w:rsidP="00AB3D2E">
      <w:r>
        <w:rPr>
          <w:rFonts w:ascii="CIDFont+F3" w:hAnsi="CIDFont+F3" w:cs="CIDFont+F3"/>
          <w:kern w:val="0"/>
          <w:sz w:val="28"/>
          <w:szCs w:val="28"/>
          <w:lang w:eastAsia="ru-RU"/>
        </w:rPr>
        <w:t>Сковороди</w:t>
      </w:r>
    </w:p>
    <w:sectPr w:rsidR="003033B6" w:rsidRPr="00AB3D2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AB3D2E" w:rsidRPr="00AB3D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792DD-D23F-41F1-AAAB-F3DE5FDE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2021-12-06T12:20:00Z</dcterms:created>
  <dcterms:modified xsi:type="dcterms:W3CDTF">2021-12-08T18:42:00Z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