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226C" w14:textId="77777777" w:rsidR="00B27175" w:rsidRDefault="00B27175" w:rsidP="00B27175">
      <w:pPr>
        <w:pStyle w:val="afffffffffffffffffffffffffff5"/>
        <w:rPr>
          <w:rFonts w:ascii="Verdana" w:hAnsi="Verdana"/>
          <w:color w:val="000000"/>
          <w:sz w:val="21"/>
          <w:szCs w:val="21"/>
        </w:rPr>
      </w:pPr>
      <w:r>
        <w:rPr>
          <w:rFonts w:ascii="Helvetica Neue" w:hAnsi="Helvetica Neue"/>
          <w:b/>
          <w:bCs w:val="0"/>
          <w:color w:val="222222"/>
          <w:sz w:val="21"/>
          <w:szCs w:val="21"/>
        </w:rPr>
        <w:t>Кидин, Николай Иванович.</w:t>
      </w:r>
    </w:p>
    <w:p w14:paraId="031B5763" w14:textId="77777777" w:rsidR="00B27175" w:rsidRDefault="00B27175" w:rsidP="00B27175">
      <w:pPr>
        <w:pStyle w:val="20"/>
        <w:spacing w:before="0" w:after="312"/>
        <w:rPr>
          <w:rFonts w:ascii="Arial" w:hAnsi="Arial" w:cs="Arial"/>
          <w:caps/>
          <w:color w:val="333333"/>
          <w:sz w:val="27"/>
          <w:szCs w:val="27"/>
        </w:rPr>
      </w:pPr>
      <w:r>
        <w:rPr>
          <w:rFonts w:ascii="Helvetica Neue" w:hAnsi="Helvetica Neue" w:cs="Arial"/>
          <w:caps/>
          <w:color w:val="222222"/>
          <w:sz w:val="21"/>
          <w:szCs w:val="21"/>
        </w:rPr>
        <w:t>Электрогидро- и газодинамика горения : диссертация ... доктора физико-математических наук в форме науч. докл. : 01.04.17. - Москва, 1997. - 80 с.; 20х15 см.</w:t>
      </w:r>
    </w:p>
    <w:p w14:paraId="4AF435C0" w14:textId="77777777" w:rsidR="00B27175" w:rsidRDefault="00B27175" w:rsidP="00B27175">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«Электрогидро- и газодинамика горения»</w:t>
      </w:r>
    </w:p>
    <w:p w14:paraId="15BED6DB" w14:textId="77777777" w:rsidR="00B27175" w:rsidRDefault="00B27175" w:rsidP="00B27175">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Несмотря на то, что, по-видимому, не существует более древней науки чем наука о горении - за десятки тысяч лет, в течении которых человечество сжигало дерево, уголь, нефть, газ, порох(да и вообще все, что горит) оно, казалось бы, должно было изучить механизм этого явления в совершенстве - говорить о полной завершенности этой науки еще рано. Конечно, существо основных процессов, происходящих при горении различных веществ, изучено и понято достаточно хорошо. Но и в наши дни задача рационального, хорошо диагностируемого и надежно управляемого горения остается важной как в научном так и в прикладном аспектах.</w:t>
      </w:r>
    </w:p>
    <w:p w14:paraId="55453A57"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Горение - крайне сложный физический процесс. В нем сочетаются вовсе нетривиальная газодинамика, неоднородные температурные поля, самые разнообразные химические реакции с выделением и поглощением тепла и т. д. Поэтому пламя изучалось и изучается различными методами, взятыми из арсенала самых разных научных дисциплин.</w:t>
      </w:r>
    </w:p>
    <w:p w14:paraId="5BDC10F1"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Одному из таких методов и посвящена данная работа. Речь идет о воздействии на процесс горения электромагнитным полем.</w:t>
      </w:r>
    </w:p>
    <w:p w14:paraId="2482D8A0"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По-видимому, впервые об электрических и магнитных свойствах пламени упоминается в работах французского ученого Пуайе еще в .1тые годы прошлого столетия. В начале нынешнего века известный .ский ученый Дж. Дж. Томсон, открывший электрон, высказал '-зу: в пламени возникают электроны и именно они, особенно самые 'ч ичные, являются «виновниками» распространения пламени, играя </w:t>
      </w:r>
      <w:r>
        <w:rPr>
          <w:rFonts w:ascii="Arial" w:hAnsi="Arial" w:cs="Arial"/>
          <w:color w:val="000000"/>
          <w:sz w:val="21"/>
          <w:szCs w:val="21"/>
        </w:rPr>
        <w:t>■</w:t>
      </w:r>
      <w:r>
        <w:rPr>
          <w:rFonts w:ascii="Verdana" w:hAnsi="Verdana"/>
          <w:color w:val="000000"/>
          <w:sz w:val="21"/>
          <w:szCs w:val="21"/>
        </w:rPr>
        <w:t xml:space="preserve"> </w:t>
      </w:r>
      <w:r>
        <w:rPr>
          <w:rFonts w:ascii="Verdana" w:hAnsi="Verdana" w:cs="Verdana"/>
          <w:color w:val="000000"/>
          <w:sz w:val="21"/>
          <w:szCs w:val="21"/>
        </w:rPr>
        <w:t>ль</w:t>
      </w:r>
      <w:r>
        <w:rPr>
          <w:rFonts w:ascii="Verdana" w:hAnsi="Verdana"/>
          <w:color w:val="000000"/>
          <w:sz w:val="21"/>
          <w:szCs w:val="21"/>
        </w:rPr>
        <w:t xml:space="preserve"> </w:t>
      </w:r>
      <w:r>
        <w:rPr>
          <w:rFonts w:ascii="Verdana" w:hAnsi="Verdana" w:cs="Verdana"/>
          <w:color w:val="000000"/>
          <w:sz w:val="21"/>
          <w:szCs w:val="21"/>
        </w:rPr>
        <w:t>передатчиков</w:t>
      </w:r>
      <w:r>
        <w:rPr>
          <w:rFonts w:ascii="Verdana" w:hAnsi="Verdana"/>
          <w:color w:val="000000"/>
          <w:sz w:val="21"/>
          <w:szCs w:val="21"/>
        </w:rPr>
        <w:t xml:space="preserve"> </w:t>
      </w:r>
      <w:r>
        <w:rPr>
          <w:rFonts w:ascii="Verdana" w:hAnsi="Verdana" w:cs="Verdana"/>
          <w:color w:val="000000"/>
          <w:sz w:val="21"/>
          <w:szCs w:val="21"/>
        </w:rPr>
        <w:t>энергии</w:t>
      </w:r>
      <w:r>
        <w:rPr>
          <w:rFonts w:ascii="Verdana" w:hAnsi="Verdana"/>
          <w:color w:val="000000"/>
          <w:sz w:val="21"/>
          <w:szCs w:val="21"/>
        </w:rPr>
        <w:t xml:space="preserve">. </w:t>
      </w:r>
      <w:r>
        <w:rPr>
          <w:rFonts w:ascii="Verdana" w:hAnsi="Verdana" w:cs="Verdana"/>
          <w:color w:val="000000"/>
          <w:sz w:val="21"/>
          <w:szCs w:val="21"/>
        </w:rPr>
        <w:t>Энергетическим</w:t>
      </w:r>
      <w:r>
        <w:rPr>
          <w:rFonts w:ascii="Verdana" w:hAnsi="Verdana"/>
          <w:color w:val="000000"/>
          <w:sz w:val="21"/>
          <w:szCs w:val="21"/>
        </w:rPr>
        <w:t xml:space="preserve"> </w:t>
      </w:r>
      <w:r>
        <w:rPr>
          <w:rFonts w:ascii="Verdana" w:hAnsi="Verdana" w:cs="Verdana"/>
          <w:color w:val="000000"/>
          <w:sz w:val="21"/>
          <w:szCs w:val="21"/>
        </w:rPr>
        <w:t>аспектам</w:t>
      </w:r>
      <w:r>
        <w:rPr>
          <w:rFonts w:ascii="Verdana" w:hAnsi="Verdana"/>
          <w:color w:val="000000"/>
          <w:sz w:val="21"/>
          <w:szCs w:val="21"/>
        </w:rPr>
        <w:t xml:space="preserve"> </w:t>
      </w:r>
      <w:r>
        <w:rPr>
          <w:rFonts w:ascii="Verdana" w:hAnsi="Verdana" w:cs="Verdana"/>
          <w:color w:val="000000"/>
          <w:sz w:val="21"/>
          <w:szCs w:val="21"/>
        </w:rPr>
        <w:t>горения</w:t>
      </w:r>
      <w:r>
        <w:rPr>
          <w:rFonts w:ascii="Verdana" w:hAnsi="Verdana"/>
          <w:color w:val="000000"/>
          <w:sz w:val="21"/>
          <w:szCs w:val="21"/>
        </w:rPr>
        <w:t xml:space="preserve"> </w:t>
      </w:r>
      <w:r>
        <w:rPr>
          <w:rFonts w:ascii="Verdana" w:hAnsi="Verdana" w:cs="Verdana"/>
          <w:color w:val="000000"/>
          <w:sz w:val="21"/>
          <w:szCs w:val="21"/>
        </w:rPr>
        <w:t>были</w:t>
      </w:r>
      <w:r>
        <w:rPr>
          <w:rFonts w:ascii="Verdana" w:hAnsi="Verdana"/>
          <w:color w:val="000000"/>
          <w:sz w:val="21"/>
          <w:szCs w:val="21"/>
        </w:rPr>
        <w:t xml:space="preserve"> </w:t>
      </w:r>
      <w:r>
        <w:rPr>
          <w:rFonts w:ascii="Verdana" w:hAnsi="Verdana" w:cs="Verdana"/>
          <w:color w:val="000000"/>
          <w:sz w:val="21"/>
          <w:szCs w:val="21"/>
        </w:rPr>
        <w:t>посвящены</w:t>
      </w:r>
      <w:r>
        <w:rPr>
          <w:rFonts w:ascii="Verdana" w:hAnsi="Verdana"/>
          <w:color w:val="000000"/>
          <w:sz w:val="21"/>
          <w:szCs w:val="21"/>
        </w:rPr>
        <w:t xml:space="preserve"> </w:t>
      </w:r>
      <w:r>
        <w:rPr>
          <w:rFonts w:ascii="Verdana" w:hAnsi="Verdana" w:cs="Verdana"/>
          <w:color w:val="000000"/>
          <w:sz w:val="21"/>
          <w:szCs w:val="21"/>
        </w:rPr>
        <w:t>начатые</w:t>
      </w:r>
      <w:r>
        <w:rPr>
          <w:rFonts w:ascii="Verdana" w:hAnsi="Verdana"/>
          <w:color w:val="000000"/>
          <w:sz w:val="21"/>
          <w:szCs w:val="21"/>
        </w:rPr>
        <w:t xml:space="preserve"> </w:t>
      </w:r>
      <w:r>
        <w:rPr>
          <w:rFonts w:ascii="Verdana" w:hAnsi="Verdana" w:cs="Verdana"/>
          <w:color w:val="000000"/>
          <w:sz w:val="21"/>
          <w:szCs w:val="21"/>
        </w:rPr>
        <w:t>в</w:t>
      </w:r>
      <w:r>
        <w:rPr>
          <w:rFonts w:ascii="Verdana" w:hAnsi="Verdana"/>
          <w:color w:val="000000"/>
          <w:sz w:val="21"/>
          <w:szCs w:val="21"/>
        </w:rPr>
        <w:t xml:space="preserve"> </w:t>
      </w:r>
      <w:r>
        <w:rPr>
          <w:rFonts w:ascii="Verdana" w:hAnsi="Verdana" w:cs="Verdana"/>
          <w:color w:val="000000"/>
          <w:sz w:val="21"/>
          <w:szCs w:val="21"/>
        </w:rPr>
        <w:t>двадцатых</w:t>
      </w:r>
      <w:r>
        <w:rPr>
          <w:rFonts w:ascii="Verdana" w:hAnsi="Verdana"/>
          <w:color w:val="000000"/>
          <w:sz w:val="21"/>
          <w:szCs w:val="21"/>
        </w:rPr>
        <w:t xml:space="preserve"> </w:t>
      </w:r>
      <w:r>
        <w:rPr>
          <w:rFonts w:ascii="Verdana" w:hAnsi="Verdana" w:cs="Verdana"/>
          <w:color w:val="000000"/>
          <w:sz w:val="21"/>
          <w:szCs w:val="21"/>
        </w:rPr>
        <w:t>годах</w:t>
      </w:r>
      <w:r>
        <w:rPr>
          <w:rFonts w:ascii="Verdana" w:hAnsi="Verdana"/>
          <w:color w:val="000000"/>
          <w:sz w:val="21"/>
          <w:szCs w:val="21"/>
        </w:rPr>
        <w:t xml:space="preserve"> </w:t>
      </w:r>
      <w:r>
        <w:rPr>
          <w:rFonts w:ascii="Verdana" w:hAnsi="Verdana" w:cs="Verdana"/>
          <w:color w:val="000000"/>
          <w:sz w:val="21"/>
          <w:szCs w:val="21"/>
        </w:rPr>
        <w:t>в</w:t>
      </w:r>
      <w:r>
        <w:rPr>
          <w:rFonts w:ascii="Verdana" w:hAnsi="Verdana"/>
          <w:color w:val="000000"/>
          <w:sz w:val="21"/>
          <w:szCs w:val="21"/>
        </w:rPr>
        <w:t xml:space="preserve"> </w:t>
      </w:r>
      <w:r>
        <w:rPr>
          <w:rFonts w:ascii="Verdana" w:hAnsi="Verdana" w:cs="Verdana"/>
          <w:color w:val="000000"/>
          <w:sz w:val="21"/>
          <w:szCs w:val="21"/>
        </w:rPr>
        <w:t>Днепропетровске</w:t>
      </w:r>
      <w:r>
        <w:rPr>
          <w:rFonts w:ascii="Verdana" w:hAnsi="Verdana"/>
          <w:color w:val="000000"/>
          <w:sz w:val="21"/>
          <w:szCs w:val="21"/>
        </w:rPr>
        <w:t xml:space="preserve"> </w:t>
      </w:r>
      <w:r>
        <w:rPr>
          <w:rFonts w:ascii="Verdana" w:hAnsi="Verdana" w:cs="Verdana"/>
          <w:color w:val="000000"/>
          <w:sz w:val="21"/>
          <w:szCs w:val="21"/>
        </w:rPr>
        <w:t>исследования</w:t>
      </w:r>
      <w:r>
        <w:rPr>
          <w:rFonts w:ascii="Verdana" w:hAnsi="Verdana"/>
          <w:color w:val="000000"/>
          <w:sz w:val="21"/>
          <w:szCs w:val="21"/>
        </w:rPr>
        <w:t xml:space="preserve"> </w:t>
      </w:r>
      <w:r>
        <w:rPr>
          <w:rFonts w:ascii="Verdana" w:hAnsi="Verdana" w:cs="Verdana"/>
          <w:color w:val="000000"/>
          <w:sz w:val="21"/>
          <w:szCs w:val="21"/>
        </w:rPr>
        <w:t>А</w:t>
      </w:r>
      <w:r>
        <w:rPr>
          <w:rFonts w:ascii="Verdana" w:hAnsi="Verdana"/>
          <w:color w:val="000000"/>
          <w:sz w:val="21"/>
          <w:szCs w:val="21"/>
        </w:rPr>
        <w:t xml:space="preserve">. </w:t>
      </w:r>
      <w:r>
        <w:rPr>
          <w:rFonts w:ascii="Verdana" w:hAnsi="Verdana" w:cs="Verdana"/>
          <w:color w:val="000000"/>
          <w:sz w:val="21"/>
          <w:szCs w:val="21"/>
        </w:rPr>
        <w:t>Э</w:t>
      </w:r>
      <w:r>
        <w:rPr>
          <w:rFonts w:ascii="Verdana" w:hAnsi="Verdana"/>
          <w:color w:val="000000"/>
          <w:sz w:val="21"/>
          <w:szCs w:val="21"/>
        </w:rPr>
        <w:t xml:space="preserve">. </w:t>
      </w:r>
      <w:r>
        <w:rPr>
          <w:rFonts w:ascii="Verdana" w:hAnsi="Verdana" w:cs="Verdana"/>
          <w:color w:val="000000"/>
          <w:sz w:val="21"/>
          <w:szCs w:val="21"/>
        </w:rPr>
        <w:t>Малиновского</w:t>
      </w:r>
      <w:r>
        <w:rPr>
          <w:rFonts w:ascii="Verdana" w:hAnsi="Verdana"/>
          <w:color w:val="000000"/>
          <w:sz w:val="21"/>
          <w:szCs w:val="21"/>
        </w:rPr>
        <w:t xml:space="preserve"> </w:t>
      </w:r>
      <w:r>
        <w:rPr>
          <w:rFonts w:ascii="Verdana" w:hAnsi="Verdana" w:cs="Verdana"/>
          <w:color w:val="000000"/>
          <w:sz w:val="21"/>
          <w:szCs w:val="21"/>
        </w:rPr>
        <w:t>и</w:t>
      </w:r>
      <w:r>
        <w:rPr>
          <w:rFonts w:ascii="Verdana" w:hAnsi="Verdana"/>
          <w:color w:val="000000"/>
          <w:sz w:val="21"/>
          <w:szCs w:val="21"/>
        </w:rPr>
        <w:t xml:space="preserve"> </w:t>
      </w:r>
      <w:r>
        <w:rPr>
          <w:rFonts w:ascii="Verdana" w:hAnsi="Verdana" w:cs="Verdana"/>
          <w:color w:val="000000"/>
          <w:sz w:val="21"/>
          <w:szCs w:val="21"/>
        </w:rPr>
        <w:t>его</w:t>
      </w:r>
      <w:r>
        <w:rPr>
          <w:rFonts w:ascii="Verdana" w:hAnsi="Verdana"/>
          <w:color w:val="000000"/>
          <w:sz w:val="21"/>
          <w:szCs w:val="21"/>
        </w:rPr>
        <w:t xml:space="preserve"> </w:t>
      </w:r>
      <w:r>
        <w:rPr>
          <w:rFonts w:ascii="Verdana" w:hAnsi="Verdana" w:cs="Verdana"/>
          <w:color w:val="000000"/>
          <w:sz w:val="21"/>
          <w:szCs w:val="21"/>
        </w:rPr>
        <w:t>сотрудников</w:t>
      </w:r>
      <w:r>
        <w:rPr>
          <w:rFonts w:ascii="Verdana" w:hAnsi="Verdana"/>
          <w:color w:val="000000"/>
          <w:sz w:val="21"/>
          <w:szCs w:val="21"/>
        </w:rPr>
        <w:t xml:space="preserve">. </w:t>
      </w:r>
      <w:r>
        <w:rPr>
          <w:rFonts w:ascii="Verdana" w:hAnsi="Verdana" w:cs="Verdana"/>
          <w:color w:val="000000"/>
          <w:sz w:val="21"/>
          <w:szCs w:val="21"/>
        </w:rPr>
        <w:t>Десятилетие</w:t>
      </w:r>
      <w:r>
        <w:rPr>
          <w:rFonts w:ascii="Verdana" w:hAnsi="Verdana"/>
          <w:color w:val="000000"/>
          <w:sz w:val="21"/>
          <w:szCs w:val="21"/>
        </w:rPr>
        <w:t xml:space="preserve"> </w:t>
      </w:r>
      <w:r>
        <w:rPr>
          <w:rFonts w:ascii="Verdana" w:hAnsi="Verdana" w:cs="Verdana"/>
          <w:color w:val="000000"/>
          <w:sz w:val="21"/>
          <w:szCs w:val="21"/>
        </w:rPr>
        <w:t>спустя</w:t>
      </w:r>
      <w:r>
        <w:rPr>
          <w:rFonts w:ascii="Verdana" w:hAnsi="Verdana"/>
          <w:color w:val="000000"/>
          <w:sz w:val="21"/>
          <w:szCs w:val="21"/>
        </w:rPr>
        <w:t xml:space="preserve"> </w:t>
      </w:r>
      <w:r>
        <w:rPr>
          <w:rFonts w:ascii="Verdana" w:hAnsi="Verdana" w:cs="Verdana"/>
          <w:color w:val="000000"/>
          <w:sz w:val="21"/>
          <w:szCs w:val="21"/>
        </w:rPr>
        <w:t>в</w:t>
      </w:r>
      <w:r>
        <w:rPr>
          <w:rFonts w:ascii="Verdana" w:hAnsi="Verdana"/>
          <w:color w:val="000000"/>
          <w:sz w:val="21"/>
          <w:szCs w:val="21"/>
        </w:rPr>
        <w:t xml:space="preserve"> </w:t>
      </w:r>
      <w:r>
        <w:rPr>
          <w:rFonts w:ascii="Verdana" w:hAnsi="Verdana" w:cs="Verdana"/>
          <w:color w:val="000000"/>
          <w:sz w:val="21"/>
          <w:szCs w:val="21"/>
        </w:rPr>
        <w:t>Институте</w:t>
      </w:r>
      <w:r>
        <w:rPr>
          <w:rFonts w:ascii="Verdana" w:hAnsi="Verdana"/>
          <w:color w:val="000000"/>
          <w:sz w:val="21"/>
          <w:szCs w:val="21"/>
        </w:rPr>
        <w:t xml:space="preserve"> </w:t>
      </w:r>
      <w:r>
        <w:rPr>
          <w:rFonts w:ascii="Verdana" w:hAnsi="Verdana" w:cs="Verdana"/>
          <w:color w:val="000000"/>
          <w:sz w:val="21"/>
          <w:szCs w:val="21"/>
        </w:rPr>
        <w:t>химической</w:t>
      </w:r>
      <w:r>
        <w:rPr>
          <w:rFonts w:ascii="Verdana" w:hAnsi="Verdana"/>
          <w:color w:val="000000"/>
          <w:sz w:val="21"/>
          <w:szCs w:val="21"/>
        </w:rPr>
        <w:t xml:space="preserve"> </w:t>
      </w:r>
      <w:r>
        <w:rPr>
          <w:rFonts w:ascii="Verdana" w:hAnsi="Verdana" w:cs="Verdana"/>
          <w:color w:val="000000"/>
          <w:sz w:val="21"/>
          <w:szCs w:val="21"/>
        </w:rPr>
        <w:t>физ</w:t>
      </w:r>
      <w:r>
        <w:rPr>
          <w:rFonts w:ascii="Verdana" w:hAnsi="Verdana"/>
          <w:color w:val="000000"/>
          <w:sz w:val="21"/>
          <w:szCs w:val="21"/>
        </w:rPr>
        <w:t>ики АН СССР этими вопросами занялся А. К. Соколик. Большой вклад в исследование электрофизики горения и образования заряженных частиц в пламени внесли Ф. Вайнберг и Дж. Лаутон (Англия), X. Калькотг (США), А.Д. Марголин, Г.С.Аравин, Е.С.Семенов (ИХФ РАН), А.Б Ватажин (ЦИАМ), Б.Г.Дьячков Е.М.Степанов, Г.Д.Саламандра и их ученики и последователи.</w:t>
      </w:r>
    </w:p>
    <w:p w14:paraId="4ABD3B41"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Сейчас можно считать бесспорным, что воздействие электрических и магнитных полей на пламя вызывает многочисленные эффекты, которые можно использовать как для </w:t>
      </w:r>
      <w:r>
        <w:rPr>
          <w:rFonts w:ascii="Verdana" w:hAnsi="Verdana"/>
          <w:color w:val="000000"/>
          <w:sz w:val="21"/>
          <w:szCs w:val="21"/>
        </w:rPr>
        <w:lastRenderedPageBreak/>
        <w:t>изучения различных стадий горения, так и в разнообразных технических устройствах и технологических процессах.</w:t>
      </w:r>
    </w:p>
    <w:p w14:paraId="5897113E"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проблемы.</w:t>
      </w:r>
    </w:p>
    <w:p w14:paraId="367D4F31"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электрогазо- и гидродинамических свойств пламен является одной из актуальных проблем физики горения. В настоящее время такие исследования стимулируются возможностью получения энергии с помощью различных генераторов, построенных на продуктах горения, конструированием электрогазогорелочных устройств, задачами направленного химического синтеза, а также возможностью использования электрических эффектов в пламенах для диагностики управления процессами горения и детального изучения химических процессов в пламени.</w:t>
      </w:r>
    </w:p>
    <w:p w14:paraId="0053D236"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силу специфических особенностей химической кинетики горения углеводородов и некоторых других топлив, пламена являются источниками заряженных частиц - главным образом положительно заряженных ионов и электронов. Внешние электрические поля, приложенные к зоне горения, воздействуют на рекомбинацию носителей противоположных зарядов, в частности, могут вызывать их пространственное разделение. Появляется возможность управления распространением пламени путем изменения его формы в электрическом поле; воздействуя переменными электрическими полями можно интенсифицировать турбулентное перемешивание в пламени, вызывать генерацию акустических волн и т.д. С другой стороны, электрические свойства пламен используются для целей диагностики процесса горения.</w:t>
      </w:r>
    </w:p>
    <w:p w14:paraId="2AB41911"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Интенсивно развивающаяся в последние годы теория аэрогидродинамического шума также поставила ряд новых задач, связанных с движениями заряженной среды. Так, аномалии шума струи реактивного двигателя обуславливаются, по-существу, двумя процессами: горением в камере сгорания и течением заряженного газа в реактивной струе, образующегося из-за уноса заряженных частиц одного знака из пристеночного двойного электрического слоя.</w:t>
      </w:r>
    </w:p>
    <w:p w14:paraId="5A326489"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Для описания таких физических явлений применяется приближение электрогидродинамики / ЭГД /. В силу общности рассматриваемых уравнений, основные выводы применимы и к другим движениям заряженного газа. В качестве примера можно привести течения заряженного газа в ЭГД-преобразователях энергии, ЭГД-насосах и фильтрах, в пограничных слоях, возникающих при движении заряженных тел в атмосфере и др.</w:t>
      </w:r>
    </w:p>
    <w:p w14:paraId="5A47CF4F"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Рассмотрение этих движений также представляет непосредственный практический интерес. Однако, теория нестационарных ЭГД-течений была развита недостаточно. Предлагаемая работа ставит своей целью сделать определенный шаг в понимании происходящих в пламени электрофизических и элекгрогидродинамических явлений.</w:t>
      </w:r>
    </w:p>
    <w:p w14:paraId="0FE8E6FD" w14:textId="77777777" w:rsidR="00B27175" w:rsidRDefault="00B27175" w:rsidP="00B2717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Чрезвычайно актуальной является также задача надежной диагностики акустической неустойчивости процесса горения и управлением уровнем «шума» в различных горелочных устройствах и энергетических установках, как впрочем, и правильное понимание основных источников звука при вибрационном и турбулентном горении.</w:t>
      </w:r>
    </w:p>
    <w:p w14:paraId="071EBB05" w14:textId="2EB2DB04" w:rsidR="00E67B85" w:rsidRPr="00B27175" w:rsidRDefault="00E67B85" w:rsidP="00B27175"/>
    <w:sectPr w:rsidR="00E67B85" w:rsidRPr="00B271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5043" w14:textId="77777777" w:rsidR="00B37D23" w:rsidRDefault="00B37D23">
      <w:pPr>
        <w:spacing w:after="0" w:line="240" w:lineRule="auto"/>
      </w:pPr>
      <w:r>
        <w:separator/>
      </w:r>
    </w:p>
  </w:endnote>
  <w:endnote w:type="continuationSeparator" w:id="0">
    <w:p w14:paraId="16190333" w14:textId="77777777" w:rsidR="00B37D23" w:rsidRDefault="00B3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F596" w14:textId="77777777" w:rsidR="00B37D23" w:rsidRDefault="00B37D23"/>
    <w:p w14:paraId="4B1C46CB" w14:textId="77777777" w:rsidR="00B37D23" w:rsidRDefault="00B37D23"/>
    <w:p w14:paraId="16D4C8A5" w14:textId="77777777" w:rsidR="00B37D23" w:rsidRDefault="00B37D23"/>
    <w:p w14:paraId="7C220ED2" w14:textId="77777777" w:rsidR="00B37D23" w:rsidRDefault="00B37D23"/>
    <w:p w14:paraId="419F86ED" w14:textId="77777777" w:rsidR="00B37D23" w:rsidRDefault="00B37D23"/>
    <w:p w14:paraId="2007F6A9" w14:textId="77777777" w:rsidR="00B37D23" w:rsidRDefault="00B37D23"/>
    <w:p w14:paraId="6C8E6C96" w14:textId="77777777" w:rsidR="00B37D23" w:rsidRDefault="00B37D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09201" wp14:editId="17DDEF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C3D8" w14:textId="77777777" w:rsidR="00B37D23" w:rsidRDefault="00B37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09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0AC3D8" w14:textId="77777777" w:rsidR="00B37D23" w:rsidRDefault="00B37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E8A35D" w14:textId="77777777" w:rsidR="00B37D23" w:rsidRDefault="00B37D23"/>
    <w:p w14:paraId="2DCFFDC7" w14:textId="77777777" w:rsidR="00B37D23" w:rsidRDefault="00B37D23"/>
    <w:p w14:paraId="1F4790B7" w14:textId="77777777" w:rsidR="00B37D23" w:rsidRDefault="00B37D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80CBC" wp14:editId="594D48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197D" w14:textId="77777777" w:rsidR="00B37D23" w:rsidRDefault="00B37D23"/>
                          <w:p w14:paraId="50B0B902" w14:textId="77777777" w:rsidR="00B37D23" w:rsidRDefault="00B37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80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FA197D" w14:textId="77777777" w:rsidR="00B37D23" w:rsidRDefault="00B37D23"/>
                    <w:p w14:paraId="50B0B902" w14:textId="77777777" w:rsidR="00B37D23" w:rsidRDefault="00B37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8772A8" w14:textId="77777777" w:rsidR="00B37D23" w:rsidRDefault="00B37D23"/>
    <w:p w14:paraId="42465705" w14:textId="77777777" w:rsidR="00B37D23" w:rsidRDefault="00B37D23">
      <w:pPr>
        <w:rPr>
          <w:sz w:val="2"/>
          <w:szCs w:val="2"/>
        </w:rPr>
      </w:pPr>
    </w:p>
    <w:p w14:paraId="1F85394E" w14:textId="77777777" w:rsidR="00B37D23" w:rsidRDefault="00B37D23"/>
    <w:p w14:paraId="54F41AAF" w14:textId="77777777" w:rsidR="00B37D23" w:rsidRDefault="00B37D23">
      <w:pPr>
        <w:spacing w:after="0" w:line="240" w:lineRule="auto"/>
      </w:pPr>
    </w:p>
  </w:footnote>
  <w:footnote w:type="continuationSeparator" w:id="0">
    <w:p w14:paraId="74E9386B" w14:textId="77777777" w:rsidR="00B37D23" w:rsidRDefault="00B3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23"/>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127672</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3252</cp:revision>
  <cp:lastPrinted>2009-02-06T05:36:00Z</cp:lastPrinted>
  <dcterms:created xsi:type="dcterms:W3CDTF">2024-01-07T13:43:00Z</dcterms:created>
  <dcterms:modified xsi:type="dcterms:W3CDTF">2025-07-06T07:46:00Z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