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CE47A" w14:textId="77777777" w:rsidR="00025FEC" w:rsidRDefault="00025FEC" w:rsidP="00025FEC">
      <w:pPr>
        <w:pStyle w:val="afffffffffffffffffffffffffff5"/>
        <w:rPr>
          <w:rFonts w:ascii="Verdana" w:hAnsi="Verdana"/>
          <w:color w:val="000000"/>
          <w:sz w:val="21"/>
          <w:szCs w:val="21"/>
        </w:rPr>
      </w:pPr>
      <w:r>
        <w:rPr>
          <w:rFonts w:ascii="Helvetica" w:hAnsi="Helvetica" w:cs="Helvetica"/>
          <w:b/>
          <w:bCs w:val="0"/>
          <w:color w:val="222222"/>
          <w:sz w:val="21"/>
          <w:szCs w:val="21"/>
        </w:rPr>
        <w:t>Пушкарева, Галина Викторовна.</w:t>
      </w:r>
    </w:p>
    <w:p w14:paraId="6805DC62" w14:textId="77777777" w:rsidR="00025FEC" w:rsidRDefault="00025FEC" w:rsidP="00025FE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Политическое поведение: теория, методология и практические возможности когнитивного </w:t>
      </w:r>
      <w:proofErr w:type="gramStart"/>
      <w:r>
        <w:rPr>
          <w:rFonts w:ascii="Helvetica" w:hAnsi="Helvetica" w:cs="Helvetica"/>
          <w:caps/>
          <w:color w:val="222222"/>
          <w:sz w:val="21"/>
          <w:szCs w:val="21"/>
        </w:rPr>
        <w:t>подхода :</w:t>
      </w:r>
      <w:proofErr w:type="gramEnd"/>
      <w:r>
        <w:rPr>
          <w:rFonts w:ascii="Helvetica" w:hAnsi="Helvetica" w:cs="Helvetica"/>
          <w:caps/>
          <w:color w:val="222222"/>
          <w:sz w:val="21"/>
          <w:szCs w:val="21"/>
        </w:rPr>
        <w:t xml:space="preserve"> диссертация ... доктора политических наук : 23.00.01. - Москва, 2004. - 369 с.</w:t>
      </w:r>
    </w:p>
    <w:p w14:paraId="43E4810E" w14:textId="77777777" w:rsidR="00025FEC" w:rsidRDefault="00025FEC" w:rsidP="00025FE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Пушкарева, Галина Викторовна</w:t>
      </w:r>
    </w:p>
    <w:p w14:paraId="3037CDAE"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DA4CA6"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Когнитивный подход в современной политической науке.</w:t>
      </w:r>
    </w:p>
    <w:p w14:paraId="3CBB5E3D"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направления в исследовании политического поведении.</w:t>
      </w:r>
    </w:p>
    <w:p w14:paraId="7B1B0D25"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Роль Чикагской школы в исследовании политического поведения.</w:t>
      </w:r>
    </w:p>
    <w:p w14:paraId="57D42D1D"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«Социологическая» интерпретация политического поведения.</w:t>
      </w:r>
    </w:p>
    <w:p w14:paraId="01D3A84D"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Исследование политических установок.</w:t>
      </w:r>
    </w:p>
    <w:p w14:paraId="2FEC41A1"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Теории рационального выбора.</w:t>
      </w:r>
    </w:p>
    <w:p w14:paraId="159E850D"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Контекстуальные теории и теории информационного влияния.</w:t>
      </w:r>
    </w:p>
    <w:p w14:paraId="7D62F9BE"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Особенности когнитивного подхода.</w:t>
      </w:r>
    </w:p>
    <w:p w14:paraId="5913ECCD"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Политическое поведение как объект исследования.</w:t>
      </w:r>
    </w:p>
    <w:p w14:paraId="6C705B32"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Политическая среда</w:t>
      </w:r>
    </w:p>
    <w:p w14:paraId="2D678E7E"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Методологические принципы когнитивного подхода. ^ 94 Выводы к главе I.</w:t>
      </w:r>
    </w:p>
    <w:p w14:paraId="78D23F07"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Когнитивная модель мотивации политического действия.</w:t>
      </w:r>
    </w:p>
    <w:p w14:paraId="34C8E5C8"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Субъективный политический мир.</w:t>
      </w:r>
    </w:p>
    <w:p w14:paraId="1A23F569"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Обоснование понятия.</w:t>
      </w:r>
    </w:p>
    <w:p w14:paraId="708A891F"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Основные виды политических </w:t>
      </w:r>
      <w:proofErr w:type="spellStart"/>
      <w:r>
        <w:rPr>
          <w:rFonts w:ascii="Arial" w:hAnsi="Arial" w:cs="Arial"/>
          <w:color w:val="333333"/>
          <w:sz w:val="21"/>
          <w:szCs w:val="21"/>
        </w:rPr>
        <w:t>когниций</w:t>
      </w:r>
      <w:proofErr w:type="spellEnd"/>
      <w:r>
        <w:rPr>
          <w:rFonts w:ascii="Arial" w:hAnsi="Arial" w:cs="Arial"/>
          <w:color w:val="333333"/>
          <w:sz w:val="21"/>
          <w:szCs w:val="21"/>
        </w:rPr>
        <w:t>.</w:t>
      </w:r>
    </w:p>
    <w:p w14:paraId="0DBB4B26"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Архитектоника субъективного политического мира.</w:t>
      </w:r>
    </w:p>
    <w:p w14:paraId="653E9F09"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Политическая идентичность.</w:t>
      </w:r>
    </w:p>
    <w:p w14:paraId="2E67F8E2"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Когнитивные процессы, обусловливающие ориентацию человека в мире политики.</w:t>
      </w:r>
    </w:p>
    <w:p w14:paraId="65C3BD0F"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Понимание политической информации.</w:t>
      </w:r>
    </w:p>
    <w:p w14:paraId="2138C2D1"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Специфика когнитивной работы с противоречивой политической информацией.</w:t>
      </w:r>
    </w:p>
    <w:p w14:paraId="199681A7"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Мотивации политического действия.</w:t>
      </w:r>
    </w:p>
    <w:p w14:paraId="3DF8A036"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параметры когнитивной модели политического действия.</w:t>
      </w:r>
    </w:p>
    <w:p w14:paraId="06270878"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Нерациональные политические действия.</w:t>
      </w:r>
    </w:p>
    <w:p w14:paraId="227C96B2"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Рациональные и </w:t>
      </w:r>
      <w:proofErr w:type="spellStart"/>
      <w:r>
        <w:rPr>
          <w:rFonts w:ascii="Arial" w:hAnsi="Arial" w:cs="Arial"/>
          <w:color w:val="333333"/>
          <w:sz w:val="21"/>
          <w:szCs w:val="21"/>
        </w:rPr>
        <w:t>псевдорациональные</w:t>
      </w:r>
      <w:proofErr w:type="spellEnd"/>
      <w:r>
        <w:rPr>
          <w:rFonts w:ascii="Arial" w:hAnsi="Arial" w:cs="Arial"/>
          <w:color w:val="333333"/>
          <w:sz w:val="21"/>
          <w:szCs w:val="21"/>
        </w:rPr>
        <w:t xml:space="preserve"> политические действия. 238 Выводы к главе II.</w:t>
      </w:r>
    </w:p>
    <w:p w14:paraId="20ADFFDC"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Технологии политического влияния в свете когнитивного подхода.</w:t>
      </w:r>
    </w:p>
    <w:p w14:paraId="4E3D628E"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Когнитивный подход и практика политического влияния.</w:t>
      </w:r>
    </w:p>
    <w:p w14:paraId="23FAADF1"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Политическое влияние как управленческая деятельность.</w:t>
      </w:r>
    </w:p>
    <w:p w14:paraId="62EFAD8C"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Возможности и ограничения политического влияния.</w:t>
      </w:r>
    </w:p>
    <w:p w14:paraId="1FE1BA24"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Задачи управления мотивацией политического действия.</w:t>
      </w:r>
    </w:p>
    <w:p w14:paraId="31AEA83B"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Манипуляция в политических кампаниях.</w:t>
      </w:r>
    </w:p>
    <w:p w14:paraId="1478BF45"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Технологии информационного обеспечения политического влияния.</w:t>
      </w:r>
    </w:p>
    <w:p w14:paraId="774E79C1"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принципы разработки концепции убеждающей коммуникации.</w:t>
      </w:r>
    </w:p>
    <w:p w14:paraId="18A1CA17"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Способы и приемы усиления воздействия сообщений в системе убеждающей коммуникации</w:t>
      </w:r>
    </w:p>
    <w:p w14:paraId="11D29A44" w14:textId="77777777" w:rsidR="00025FEC" w:rsidRDefault="00025FEC" w:rsidP="00025F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Некоторые аспекты противодействия негативной информации. 324 Выводы к главе III.</w:t>
      </w:r>
    </w:p>
    <w:p w14:paraId="40294F55" w14:textId="39605C02" w:rsidR="00050BAD" w:rsidRPr="00025FEC" w:rsidRDefault="00050BAD" w:rsidP="00025FEC"/>
    <w:sectPr w:rsidR="00050BAD" w:rsidRPr="00025FE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9961" w14:textId="77777777" w:rsidR="00FE2852" w:rsidRDefault="00FE2852">
      <w:pPr>
        <w:spacing w:after="0" w:line="240" w:lineRule="auto"/>
      </w:pPr>
      <w:r>
        <w:separator/>
      </w:r>
    </w:p>
  </w:endnote>
  <w:endnote w:type="continuationSeparator" w:id="0">
    <w:p w14:paraId="62FE17D7" w14:textId="77777777" w:rsidR="00FE2852" w:rsidRDefault="00FE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A7E5" w14:textId="77777777" w:rsidR="00FE2852" w:rsidRDefault="00FE2852"/>
    <w:p w14:paraId="61DEB6A2" w14:textId="77777777" w:rsidR="00FE2852" w:rsidRDefault="00FE2852"/>
    <w:p w14:paraId="381158C4" w14:textId="77777777" w:rsidR="00FE2852" w:rsidRDefault="00FE2852"/>
    <w:p w14:paraId="0C8730F8" w14:textId="77777777" w:rsidR="00FE2852" w:rsidRDefault="00FE2852"/>
    <w:p w14:paraId="396E64CC" w14:textId="77777777" w:rsidR="00FE2852" w:rsidRDefault="00FE2852"/>
    <w:p w14:paraId="5B1DC39E" w14:textId="77777777" w:rsidR="00FE2852" w:rsidRDefault="00FE2852"/>
    <w:p w14:paraId="1FE6789D" w14:textId="77777777" w:rsidR="00FE2852" w:rsidRDefault="00FE28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98F7CE" wp14:editId="61675E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735C5" w14:textId="77777777" w:rsidR="00FE2852" w:rsidRDefault="00FE28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98F7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D735C5" w14:textId="77777777" w:rsidR="00FE2852" w:rsidRDefault="00FE28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ADEE4F" w14:textId="77777777" w:rsidR="00FE2852" w:rsidRDefault="00FE2852"/>
    <w:p w14:paraId="169C2D49" w14:textId="77777777" w:rsidR="00FE2852" w:rsidRDefault="00FE2852"/>
    <w:p w14:paraId="0082022B" w14:textId="77777777" w:rsidR="00FE2852" w:rsidRDefault="00FE28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B42936" wp14:editId="7B9DEE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B77C4" w14:textId="77777777" w:rsidR="00FE2852" w:rsidRDefault="00FE2852"/>
                          <w:p w14:paraId="06EE7F6F" w14:textId="77777777" w:rsidR="00FE2852" w:rsidRDefault="00FE28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429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BB77C4" w14:textId="77777777" w:rsidR="00FE2852" w:rsidRDefault="00FE2852"/>
                    <w:p w14:paraId="06EE7F6F" w14:textId="77777777" w:rsidR="00FE2852" w:rsidRDefault="00FE28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99EB63" w14:textId="77777777" w:rsidR="00FE2852" w:rsidRDefault="00FE2852"/>
    <w:p w14:paraId="29E7FE8C" w14:textId="77777777" w:rsidR="00FE2852" w:rsidRDefault="00FE2852">
      <w:pPr>
        <w:rPr>
          <w:sz w:val="2"/>
          <w:szCs w:val="2"/>
        </w:rPr>
      </w:pPr>
    </w:p>
    <w:p w14:paraId="441D0E13" w14:textId="77777777" w:rsidR="00FE2852" w:rsidRDefault="00FE2852"/>
    <w:p w14:paraId="29B1BC7E" w14:textId="77777777" w:rsidR="00FE2852" w:rsidRDefault="00FE2852">
      <w:pPr>
        <w:spacing w:after="0" w:line="240" w:lineRule="auto"/>
      </w:pPr>
    </w:p>
  </w:footnote>
  <w:footnote w:type="continuationSeparator" w:id="0">
    <w:p w14:paraId="240C2818" w14:textId="77777777" w:rsidR="00FE2852" w:rsidRDefault="00FE2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5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82187</TotalTime>
  <Pages>2</Pages>
  <Words>329</Words>
  <Characters>1878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2887</cp:revision>
  <cp:lastPrinted>2009-02-06T05:36:00Z</cp:lastPrinted>
  <dcterms:created xsi:type="dcterms:W3CDTF">2024-01-07T13:43:00Z</dcterms:created>
  <dcterms:modified xsi:type="dcterms:W3CDTF">2025-04-25T19:49:00Z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