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A97579" w:rsidRDefault="00985209" w:rsidP="00985209">
      <w:r w:rsidRPr="007D2BF8">
        <w:rPr>
          <w:rFonts w:ascii="Times New Roman" w:eastAsia="Times New Roman" w:hAnsi="Times New Roman" w:cs="Times New Roman"/>
          <w:b/>
          <w:bCs/>
          <w:kern w:val="24"/>
          <w:sz w:val="24"/>
          <w:szCs w:val="26"/>
          <w:lang w:eastAsia="ru-RU"/>
        </w:rPr>
        <w:t xml:space="preserve">Іщенко Інна Сергіївна, </w:t>
      </w:r>
      <w:r w:rsidRPr="007D2BF8">
        <w:rPr>
          <w:rFonts w:ascii="Times New Roman" w:eastAsia="Times New Roman" w:hAnsi="Times New Roman" w:cs="Times New Roman"/>
          <w:bCs/>
          <w:kern w:val="24"/>
          <w:sz w:val="24"/>
          <w:szCs w:val="26"/>
          <w:lang w:eastAsia="ru-RU"/>
        </w:rPr>
        <w:t>асистент</w:t>
      </w:r>
      <w:r w:rsidRPr="007D2BF8">
        <w:rPr>
          <w:rFonts w:ascii="Times New Roman" w:eastAsia="Times New Roman" w:hAnsi="Times New Roman" w:cs="Times New Roman"/>
          <w:kern w:val="24"/>
          <w:sz w:val="24"/>
          <w:szCs w:val="26"/>
          <w:lang w:eastAsia="ru-RU"/>
        </w:rPr>
        <w:t xml:space="preserve"> кафедри економічної кібернетики, бізнес-економіки та інформаційних систем Вищого навчального закладу Укоопспілки «Полтавського університету економіки і торгівлі». Назва дисертації: «Управління ризиками інвестиційних проєктів торговельних підприємств». Шифр та назва спеціальності – 08.00.04 </w:t>
      </w:r>
      <w:r w:rsidRPr="007D2BF8">
        <w:rPr>
          <w:rFonts w:ascii="Times New Roman" w:eastAsia="Times New Roman" w:hAnsi="Times New Roman" w:cs="Times New Roman"/>
          <w:kern w:val="24"/>
          <w:sz w:val="24"/>
          <w:szCs w:val="26"/>
          <w:lang w:eastAsia="ru-RU"/>
        </w:rPr>
        <w:sym w:font="Symbol" w:char="F02D"/>
      </w:r>
      <w:r w:rsidRPr="007D2BF8">
        <w:rPr>
          <w:rFonts w:ascii="Times New Roman" w:eastAsia="Times New Roman" w:hAnsi="Times New Roman" w:cs="Times New Roman"/>
          <w:kern w:val="24"/>
          <w:sz w:val="24"/>
          <w:szCs w:val="26"/>
          <w:lang w:eastAsia="ru-RU"/>
        </w:rPr>
        <w:t xml:space="preserve"> економіка та управління підприємствами (за видами економічної діяльності). Спецрада – Д 35.840.01 Львівського торговельно-економічного університету</w:t>
      </w:r>
    </w:p>
    <w:sectPr w:rsidR="0064656E" w:rsidRPr="00A975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93745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93745B">
                <w:pPr>
                  <w:spacing w:line="240" w:lineRule="auto"/>
                </w:pPr>
                <w:fldSimple w:instr=" PAGE \* MERGEFORMAT ">
                  <w:r w:rsidR="00985209" w:rsidRPr="009852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93745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93745B">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93745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8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852"/>
    <o:shapelayout v:ext="edit">
      <o:idmap v:ext="edit" data="1,597"/>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 id="V:Rule15" type="arc" idref="#_x0000_s1891"/>
        <o:r id="V:Rule16" type="arc" idref="#_x0000_s1890"/>
        <o:r id="V:Rule17" type="arc" idref="#_x0000_s1879"/>
        <o:r id="V:Rule18" type="arc" idref="#_x0000_s1870"/>
        <o:r id="V:Rule19" type="arc" idref="#_x0000_s1894"/>
        <o:r id="V:Rule20" type="arc" idref="#_x0000_s1880"/>
        <o:r id="V:Rule21" type="arc" idref="#_x0000_s1881"/>
        <o:r id="V:Rule22" type="arc" idref="#_x0000_s1914"/>
        <o:r id="V:Rule23" type="arc" idref="#_x0000_s611550"/>
        <o:r id="V:Rule24" type="arc" idref="#_x0000_s611549"/>
        <o:r id="V:Rule25" type="arc" idref="#_x0000_s611538"/>
        <o:r id="V:Rule26" type="arc" idref="#_x0000_s611529"/>
        <o:r id="V:Rule27" type="arc" idref="#_x0000_s611553"/>
        <o:r id="V:Rule28" type="arc" idref="#_x0000_s611539"/>
        <o:r id="V:Rule29" type="arc" idref="#_x0000_s611540"/>
        <o:r id="V:Rule30" type="arc" idref="#_x0000_s61157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7860B-E1E0-40DC-A858-1F1CFA49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2021-04-12T15:35:00Z</dcterms:created>
  <dcterms:modified xsi:type="dcterms:W3CDTF">2021-04-14T12:45:00Z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