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46361" w14:textId="3E3A0373" w:rsidR="001150C7" w:rsidRDefault="00FD4770" w:rsidP="00FD4770">
      <w:pPr>
        <w:rPr>
          <w:rFonts w:ascii="Verdana" w:hAnsi="Verdana"/>
          <w:b/>
          <w:bCs/>
          <w:color w:val="000000"/>
          <w:shd w:val="clear" w:color="auto" w:fill="FFFFFF"/>
        </w:rPr>
      </w:pPr>
      <w:r>
        <w:rPr>
          <w:rFonts w:ascii="Verdana" w:hAnsi="Verdana"/>
          <w:b/>
          <w:bCs/>
          <w:color w:val="000000"/>
          <w:shd w:val="clear" w:color="auto" w:fill="FFFFFF"/>
        </w:rPr>
        <w:t>Фелдій Патриція Гейзівна. Профілактика та лікування місцевих променевих ушкоджень верхніх дихальних шляхів у ЛОР-онкологічних хворих: дис... канд. мед. наук: 14.01.19 / АМН України; Інститут отоларингології ім. О.С.Коломійченка.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D4770" w:rsidRPr="00FD4770" w14:paraId="1ABAA3B6" w14:textId="77777777" w:rsidTr="00FD477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D4770" w:rsidRPr="00FD4770" w14:paraId="2C7CBF21" w14:textId="77777777">
              <w:trPr>
                <w:tblCellSpacing w:w="0" w:type="dxa"/>
              </w:trPr>
              <w:tc>
                <w:tcPr>
                  <w:tcW w:w="0" w:type="auto"/>
                  <w:vAlign w:val="center"/>
                  <w:hideMark/>
                </w:tcPr>
                <w:p w14:paraId="320E1FCE" w14:textId="77777777" w:rsidR="00FD4770" w:rsidRPr="00FD4770" w:rsidRDefault="00FD4770" w:rsidP="00FD47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4770">
                    <w:rPr>
                      <w:rFonts w:ascii="Times New Roman" w:eastAsia="Times New Roman" w:hAnsi="Times New Roman" w:cs="Times New Roman"/>
                      <w:b/>
                      <w:bCs/>
                      <w:sz w:val="24"/>
                      <w:szCs w:val="24"/>
                    </w:rPr>
                    <w:lastRenderedPageBreak/>
                    <w:t>Фелдій П.Г.</w:t>
                  </w:r>
                  <w:r w:rsidRPr="00FD4770">
                    <w:rPr>
                      <w:rFonts w:ascii="Times New Roman" w:eastAsia="Times New Roman" w:hAnsi="Times New Roman" w:cs="Times New Roman"/>
                      <w:sz w:val="24"/>
                      <w:szCs w:val="24"/>
                    </w:rPr>
                    <w:t> </w:t>
                  </w:r>
                  <w:r w:rsidRPr="00FD4770">
                    <w:rPr>
                      <w:rFonts w:ascii="Times New Roman" w:eastAsia="Times New Roman" w:hAnsi="Times New Roman" w:cs="Times New Roman"/>
                      <w:i/>
                      <w:iCs/>
                      <w:sz w:val="24"/>
                      <w:szCs w:val="24"/>
                    </w:rPr>
                    <w:t>Профілактика та лікування місцевих променевих ушкоджень верхніх дихальних шляхів у ЛОР-онкологічних хворих. - Рукопис.</w:t>
                  </w:r>
                </w:p>
                <w:p w14:paraId="62E6FEA1" w14:textId="77777777" w:rsidR="00FD4770" w:rsidRPr="00FD4770" w:rsidRDefault="00FD4770" w:rsidP="00FD47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4770">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14.01.19 – оториноларингологія. – Інститут отоларингології ім. проф. О.С. Коломійченка Академії медичних наук України, Київ,2004.</w:t>
                  </w:r>
                </w:p>
                <w:p w14:paraId="52C36168" w14:textId="77777777" w:rsidR="00FD4770" w:rsidRPr="00FD4770" w:rsidRDefault="00FD4770" w:rsidP="00FD47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4770">
                    <w:rPr>
                      <w:rFonts w:ascii="Times New Roman" w:eastAsia="Times New Roman" w:hAnsi="Times New Roman" w:cs="Times New Roman"/>
                      <w:sz w:val="24"/>
                      <w:szCs w:val="24"/>
                    </w:rPr>
                    <w:t>З метою профілактики виникнення місцевих променевих ушкоджень у ЛОР-онкологічних хворих встановлені найбільш імовірні етіологічні фактори, що провокують розвиток даної патології. Встановлена структура місцевих променевих ускладнень верхніх дихальних шляхів, серед яких головне місце займає радіоепітеліїт (90,03%). При створенні комплексу діагностичного обстеження (ендоскопічні, цитологічні, мікробіологічні, імунологічні, ультразвукові дослідження), була розроблена диференційна ехографічна діагностика між інфільтративним (пролонгованим, рецидивним) раком гортані (наявність фокального утворення) та променевим хондроперихондритом гортані, променевим набряком, фіброзом (відсутність фокального утворення). Встановлено пригнічення стану протипухлинної резистентності (імуносупресія) у ЛОР-онкологічних хворих з радіоепітеліїтом. Розроблений та апробований комплексний медикаментозний імунокорегуючий (настоянка ехінацеї, мумійо-вітас, тімоген ) та локально протизапально-відновлюючий (лікарські форми з куріозином – гіалуронат-цинк) метод лікування радіоепітеліїтів верхніх дихальних шляхів, являється найбільш адекватним профілактичним заходом, що значно знижує ризик виникнення інших, більш тяжких ушкоджень.</w:t>
                  </w:r>
                </w:p>
              </w:tc>
            </w:tr>
          </w:tbl>
          <w:p w14:paraId="48BD217D" w14:textId="77777777" w:rsidR="00FD4770" w:rsidRPr="00FD4770" w:rsidRDefault="00FD4770" w:rsidP="00FD4770">
            <w:pPr>
              <w:spacing w:after="0" w:line="240" w:lineRule="auto"/>
              <w:rPr>
                <w:rFonts w:ascii="Times New Roman" w:eastAsia="Times New Roman" w:hAnsi="Times New Roman" w:cs="Times New Roman"/>
                <w:sz w:val="24"/>
                <w:szCs w:val="24"/>
              </w:rPr>
            </w:pPr>
          </w:p>
        </w:tc>
      </w:tr>
      <w:tr w:rsidR="00FD4770" w:rsidRPr="00FD4770" w14:paraId="3658E0E3" w14:textId="77777777" w:rsidTr="00FD477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D4770" w:rsidRPr="00FD4770" w14:paraId="5BDA4F75" w14:textId="77777777">
              <w:trPr>
                <w:tblCellSpacing w:w="0" w:type="dxa"/>
              </w:trPr>
              <w:tc>
                <w:tcPr>
                  <w:tcW w:w="0" w:type="auto"/>
                  <w:vAlign w:val="center"/>
                  <w:hideMark/>
                </w:tcPr>
                <w:p w14:paraId="052734CB" w14:textId="77777777" w:rsidR="00FD4770" w:rsidRPr="00FD4770" w:rsidRDefault="00FD4770" w:rsidP="00FD47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4770">
                    <w:rPr>
                      <w:rFonts w:ascii="Times New Roman" w:eastAsia="Times New Roman" w:hAnsi="Times New Roman" w:cs="Times New Roman"/>
                      <w:sz w:val="24"/>
                      <w:szCs w:val="24"/>
                    </w:rPr>
                    <w:t>1. Серед найбільш імовірних провокуючих факторів виникнення місцевих променевих ускладнень верхніх дихальних шляхів у ЛОР-онкологічних хворих найчастіше зустрічаються захворювання бронхо-легеневої системи - 19,51 % захворювань, ураження гепатобіліарної системи – 25 %, кахексія – 8,38 %, захворювання нирок – 8,82 % і дерматити та екзема - 5,78%, що потребує корекцію цих станів перед початком і в процесі променевої терапії.</w:t>
                  </w:r>
                </w:p>
                <w:p w14:paraId="4C2101A6" w14:textId="77777777" w:rsidR="00FD4770" w:rsidRPr="00FD4770" w:rsidRDefault="00FD4770" w:rsidP="00FD47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4770">
                    <w:rPr>
                      <w:rFonts w:ascii="Times New Roman" w:eastAsia="Times New Roman" w:hAnsi="Times New Roman" w:cs="Times New Roman"/>
                      <w:sz w:val="24"/>
                      <w:szCs w:val="24"/>
                    </w:rPr>
                    <w:t>2. Серед місцевих променевих ускладнень верхніх дихальних шляхів радіоепітеліїт виявлено у 90,03% хворих, злоякісними новоутвореннями ЛОР- органів, із них катаральну форму у 51,52% хворих, ерозивно-плівчасту - 40,93% та виразково-некротичну у 7,55%, гострий радіодерміт - 10,01% (у 9% поєднаний з гострим радіоепітеліїтом), променевий набряк ( ізольований у 2,02%), хондроперихондрит гортані у 4,19%, променевий фіброз у 0,72%, променеву виразку глотки у 0,87%, арозивну кровотечу у 0,58%, радіогенний рак у 0,58% хворих. Ця структура ушкоджень може рекомендуватися у вигляді проекту при створенні відповідної класифікації.</w:t>
                  </w:r>
                </w:p>
                <w:p w14:paraId="29491619" w14:textId="77777777" w:rsidR="00FD4770" w:rsidRPr="00FD4770" w:rsidRDefault="00FD4770" w:rsidP="00FD47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4770">
                    <w:rPr>
                      <w:rFonts w:ascii="Times New Roman" w:eastAsia="Times New Roman" w:hAnsi="Times New Roman" w:cs="Times New Roman"/>
                      <w:sz w:val="24"/>
                      <w:szCs w:val="24"/>
                    </w:rPr>
                    <w:t>3. Розроблений нами спосіб ехографії (УЗД) дозволяє проводити диференційну діагностику між інфільтративним (пролонгованим, рецидивним) раком гортані (наявність фокального утворення) та променевим хондроперихондритом гортані та іншими променевими ускладненнями: променевий набряк, фіброз (відсутність фокального утворення) (деклараційний патент України на винахід 37149А, 16.04.2001. Бюл. № 3).</w:t>
                  </w:r>
                </w:p>
                <w:p w14:paraId="73E179EC" w14:textId="77777777" w:rsidR="00FD4770" w:rsidRPr="00FD4770" w:rsidRDefault="00FD4770" w:rsidP="00FD47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4770">
                    <w:rPr>
                      <w:rFonts w:ascii="Times New Roman" w:eastAsia="Times New Roman" w:hAnsi="Times New Roman" w:cs="Times New Roman"/>
                      <w:sz w:val="24"/>
                      <w:szCs w:val="24"/>
                    </w:rPr>
                    <w:t>4. У хворих з радіоепітеліїтами зростає щільність популяцій кокової групи та нейсерій - 16492±914 КУО/мл, відносно 5268±1211 КУО/мл до променевої терапії, які найбільш чутливі до антибіотиків широкого спектру дії.</w:t>
                  </w:r>
                </w:p>
                <w:p w14:paraId="2C0F3F75" w14:textId="77777777" w:rsidR="00FD4770" w:rsidRPr="00FD4770" w:rsidRDefault="00FD4770" w:rsidP="00FD47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4770">
                    <w:rPr>
                      <w:rFonts w:ascii="Times New Roman" w:eastAsia="Times New Roman" w:hAnsi="Times New Roman" w:cs="Times New Roman"/>
                      <w:sz w:val="24"/>
                      <w:szCs w:val="24"/>
                    </w:rPr>
                    <w:lastRenderedPageBreak/>
                    <w:t>5. У ЛОР- онкохворих з радіоепітеліїтом виявлено пригнічення стану протипухлинної резистентності (імуносупресія), яка піддається корекції запропонованим комплексним методом лікування .</w:t>
                  </w:r>
                </w:p>
                <w:p w14:paraId="6002348F" w14:textId="77777777" w:rsidR="00FD4770" w:rsidRPr="00FD4770" w:rsidRDefault="00FD4770" w:rsidP="00FD47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4770">
                    <w:rPr>
                      <w:rFonts w:ascii="Times New Roman" w:eastAsia="Times New Roman" w:hAnsi="Times New Roman" w:cs="Times New Roman"/>
                      <w:sz w:val="24"/>
                      <w:szCs w:val="24"/>
                    </w:rPr>
                    <w:t>6. Застосування запропонованого алгоритму діагностичного обстеження (ендоскопічні, цитологічні, мікробіологічні, імунологічні, ультразвукові дослідження) об`єктивізує стан клінічного перебігу місцевих променевих ускладнень верхніх дихальних шляхів та дозволяє контролювати ефективність проведеного лікування .</w:t>
                  </w:r>
                </w:p>
                <w:p w14:paraId="4FA72F9C" w14:textId="77777777" w:rsidR="00FD4770" w:rsidRPr="00FD4770" w:rsidRDefault="00FD4770" w:rsidP="00FD47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4770">
                    <w:rPr>
                      <w:rFonts w:ascii="Times New Roman" w:eastAsia="Times New Roman" w:hAnsi="Times New Roman" w:cs="Times New Roman"/>
                      <w:sz w:val="24"/>
                      <w:szCs w:val="24"/>
                    </w:rPr>
                    <w:t>7. Розроблено та апробовано патогенетично обгрунтований комплексний метод медикаментозного імунокорегуючого ( настоянка ехінацеї, мумійо-вітас, тімоген ) та локально протизапального (лікарські форми з куріозином –гіалуронат-цинк) лікування найбільш поширеного в ЛОР-онкологічній практиці ускладнення променевої терапії – радіоепітеліїту, який являється найбільш ефективним ( адекватним ) профілактичним заходом, що забезпечує зниження частоти розвитку інших місцевих променевих ускладнень і може бути методом вибору.</w:t>
                  </w:r>
                </w:p>
              </w:tc>
            </w:tr>
          </w:tbl>
          <w:p w14:paraId="612728E6" w14:textId="77777777" w:rsidR="00FD4770" w:rsidRPr="00FD4770" w:rsidRDefault="00FD4770" w:rsidP="00FD4770">
            <w:pPr>
              <w:spacing w:after="0" w:line="240" w:lineRule="auto"/>
              <w:rPr>
                <w:rFonts w:ascii="Times New Roman" w:eastAsia="Times New Roman" w:hAnsi="Times New Roman" w:cs="Times New Roman"/>
                <w:sz w:val="24"/>
                <w:szCs w:val="24"/>
              </w:rPr>
            </w:pPr>
          </w:p>
        </w:tc>
      </w:tr>
    </w:tbl>
    <w:p w14:paraId="52A32798" w14:textId="77777777" w:rsidR="00FD4770" w:rsidRPr="00FD4770" w:rsidRDefault="00FD4770" w:rsidP="00FD4770"/>
    <w:sectPr w:rsidR="00FD4770" w:rsidRPr="00FD477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952EF" w14:textId="77777777" w:rsidR="00914283" w:rsidRDefault="00914283">
      <w:pPr>
        <w:spacing w:after="0" w:line="240" w:lineRule="auto"/>
      </w:pPr>
      <w:r>
        <w:separator/>
      </w:r>
    </w:p>
  </w:endnote>
  <w:endnote w:type="continuationSeparator" w:id="0">
    <w:p w14:paraId="4BB7162C" w14:textId="77777777" w:rsidR="00914283" w:rsidRDefault="00914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DD3CC" w14:textId="77777777" w:rsidR="00914283" w:rsidRDefault="00914283">
      <w:pPr>
        <w:spacing w:after="0" w:line="240" w:lineRule="auto"/>
      </w:pPr>
      <w:r>
        <w:separator/>
      </w:r>
    </w:p>
  </w:footnote>
  <w:footnote w:type="continuationSeparator" w:id="0">
    <w:p w14:paraId="7762E31A" w14:textId="77777777" w:rsidR="00914283" w:rsidRDefault="00914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1428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1C64"/>
    <w:multiLevelType w:val="multilevel"/>
    <w:tmpl w:val="C3D40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B18DE"/>
    <w:multiLevelType w:val="multilevel"/>
    <w:tmpl w:val="647456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34CC6"/>
    <w:multiLevelType w:val="multilevel"/>
    <w:tmpl w:val="09F66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35625"/>
    <w:multiLevelType w:val="multilevel"/>
    <w:tmpl w:val="2B302A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B4118F"/>
    <w:multiLevelType w:val="multilevel"/>
    <w:tmpl w:val="9E5CC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6455D"/>
    <w:multiLevelType w:val="multilevel"/>
    <w:tmpl w:val="A1D63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8C3812"/>
    <w:multiLevelType w:val="multilevel"/>
    <w:tmpl w:val="96EEB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E55C46"/>
    <w:multiLevelType w:val="multilevel"/>
    <w:tmpl w:val="726272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051515"/>
    <w:multiLevelType w:val="multilevel"/>
    <w:tmpl w:val="F1923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393243"/>
    <w:multiLevelType w:val="multilevel"/>
    <w:tmpl w:val="D21AA5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987350"/>
    <w:multiLevelType w:val="multilevel"/>
    <w:tmpl w:val="0ABAE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B6B17"/>
    <w:multiLevelType w:val="multilevel"/>
    <w:tmpl w:val="5B5A18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75018E"/>
    <w:multiLevelType w:val="multilevel"/>
    <w:tmpl w:val="A662A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E07396"/>
    <w:multiLevelType w:val="multilevel"/>
    <w:tmpl w:val="0A7EE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F55FE9"/>
    <w:multiLevelType w:val="multilevel"/>
    <w:tmpl w:val="59F6B9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D42183"/>
    <w:multiLevelType w:val="multilevel"/>
    <w:tmpl w:val="CC3EF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7D7399"/>
    <w:multiLevelType w:val="multilevel"/>
    <w:tmpl w:val="0BCCD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8516DA"/>
    <w:multiLevelType w:val="multilevel"/>
    <w:tmpl w:val="C582B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2633E2"/>
    <w:multiLevelType w:val="multilevel"/>
    <w:tmpl w:val="5C08F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E823AD"/>
    <w:multiLevelType w:val="multilevel"/>
    <w:tmpl w:val="BE9A9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030321"/>
    <w:multiLevelType w:val="multilevel"/>
    <w:tmpl w:val="52DAD0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822FE5"/>
    <w:multiLevelType w:val="multilevel"/>
    <w:tmpl w:val="301CEF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2D77EE"/>
    <w:multiLevelType w:val="multilevel"/>
    <w:tmpl w:val="68783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7A25A8"/>
    <w:multiLevelType w:val="multilevel"/>
    <w:tmpl w:val="9F4E1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A35BEA"/>
    <w:multiLevelType w:val="multilevel"/>
    <w:tmpl w:val="C7AEF4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AC39C3"/>
    <w:multiLevelType w:val="multilevel"/>
    <w:tmpl w:val="68E20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B30CC2"/>
    <w:multiLevelType w:val="multilevel"/>
    <w:tmpl w:val="30A6AD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BB5555"/>
    <w:multiLevelType w:val="multilevel"/>
    <w:tmpl w:val="E7E62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19191D"/>
    <w:multiLevelType w:val="multilevel"/>
    <w:tmpl w:val="4F781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D93A4C"/>
    <w:multiLevelType w:val="multilevel"/>
    <w:tmpl w:val="7DB4D1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664F1A"/>
    <w:multiLevelType w:val="multilevel"/>
    <w:tmpl w:val="C9A67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A6544B"/>
    <w:multiLevelType w:val="multilevel"/>
    <w:tmpl w:val="0A3275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AA75EE"/>
    <w:multiLevelType w:val="multilevel"/>
    <w:tmpl w:val="DDF4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5C7CAA"/>
    <w:multiLevelType w:val="multilevel"/>
    <w:tmpl w:val="AD52A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7C47F0"/>
    <w:multiLevelType w:val="multilevel"/>
    <w:tmpl w:val="E9085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5826DA"/>
    <w:multiLevelType w:val="multilevel"/>
    <w:tmpl w:val="77183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E76319"/>
    <w:multiLevelType w:val="multilevel"/>
    <w:tmpl w:val="FB24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085F1D"/>
    <w:multiLevelType w:val="multilevel"/>
    <w:tmpl w:val="2EEC5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3E31F9"/>
    <w:multiLevelType w:val="multilevel"/>
    <w:tmpl w:val="9FD41F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E47B53"/>
    <w:multiLevelType w:val="multilevel"/>
    <w:tmpl w:val="EB188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CF20F6"/>
    <w:multiLevelType w:val="multilevel"/>
    <w:tmpl w:val="799CC372"/>
    <w:lvl w:ilvl="0">
      <w:start w:val="2"/>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start w:val="5"/>
      <w:numFmt w:val="decimal"/>
      <w:lvlText w:val="%4."/>
      <w:lvlJc w:val="left"/>
      <w:pPr>
        <w:tabs>
          <w:tab w:val="num" w:pos="2880"/>
        </w:tabs>
        <w:ind w:left="2880" w:hanging="360"/>
      </w:pPr>
    </w:lvl>
    <w:lvl w:ilvl="4">
      <w:start w:val="6"/>
      <w:numFmt w:val="decimal"/>
      <w:lvlText w:val="%5."/>
      <w:lvlJc w:val="left"/>
      <w:pPr>
        <w:tabs>
          <w:tab w:val="num" w:pos="3600"/>
        </w:tabs>
        <w:ind w:left="3600" w:hanging="360"/>
      </w:pPr>
    </w:lvl>
    <w:lvl w:ilvl="5">
      <w:start w:val="8"/>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064F87"/>
    <w:multiLevelType w:val="multilevel"/>
    <w:tmpl w:val="70784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F3110C"/>
    <w:multiLevelType w:val="multilevel"/>
    <w:tmpl w:val="78F6E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1C37D2"/>
    <w:multiLevelType w:val="multilevel"/>
    <w:tmpl w:val="51768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6C1417"/>
    <w:multiLevelType w:val="multilevel"/>
    <w:tmpl w:val="DC763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9B10F4"/>
    <w:multiLevelType w:val="multilevel"/>
    <w:tmpl w:val="3228A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E36A26"/>
    <w:multiLevelType w:val="multilevel"/>
    <w:tmpl w:val="E0CED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A055A4D"/>
    <w:multiLevelType w:val="multilevel"/>
    <w:tmpl w:val="00983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AB2D7E"/>
    <w:multiLevelType w:val="multilevel"/>
    <w:tmpl w:val="036E02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11"/>
  </w:num>
  <w:num w:numId="3">
    <w:abstractNumId w:val="5"/>
  </w:num>
  <w:num w:numId="4">
    <w:abstractNumId w:val="27"/>
  </w:num>
  <w:num w:numId="5">
    <w:abstractNumId w:val="37"/>
  </w:num>
  <w:num w:numId="6">
    <w:abstractNumId w:val="43"/>
  </w:num>
  <w:num w:numId="7">
    <w:abstractNumId w:val="41"/>
  </w:num>
  <w:num w:numId="8">
    <w:abstractNumId w:val="29"/>
  </w:num>
  <w:num w:numId="9">
    <w:abstractNumId w:val="4"/>
  </w:num>
  <w:num w:numId="10">
    <w:abstractNumId w:val="0"/>
  </w:num>
  <w:num w:numId="11">
    <w:abstractNumId w:val="24"/>
  </w:num>
  <w:num w:numId="12">
    <w:abstractNumId w:val="8"/>
  </w:num>
  <w:num w:numId="13">
    <w:abstractNumId w:val="22"/>
  </w:num>
  <w:num w:numId="14">
    <w:abstractNumId w:val="45"/>
  </w:num>
  <w:num w:numId="15">
    <w:abstractNumId w:val="39"/>
  </w:num>
  <w:num w:numId="16">
    <w:abstractNumId w:val="7"/>
  </w:num>
  <w:num w:numId="17">
    <w:abstractNumId w:val="12"/>
  </w:num>
  <w:num w:numId="18">
    <w:abstractNumId w:val="16"/>
  </w:num>
  <w:num w:numId="19">
    <w:abstractNumId w:val="47"/>
  </w:num>
  <w:num w:numId="20">
    <w:abstractNumId w:val="21"/>
  </w:num>
  <w:num w:numId="21">
    <w:abstractNumId w:val="32"/>
  </w:num>
  <w:num w:numId="22">
    <w:abstractNumId w:val="42"/>
  </w:num>
  <w:num w:numId="23">
    <w:abstractNumId w:val="36"/>
  </w:num>
  <w:num w:numId="24">
    <w:abstractNumId w:val="2"/>
  </w:num>
  <w:num w:numId="25">
    <w:abstractNumId w:val="23"/>
  </w:num>
  <w:num w:numId="26">
    <w:abstractNumId w:val="19"/>
  </w:num>
  <w:num w:numId="27">
    <w:abstractNumId w:val="20"/>
  </w:num>
  <w:num w:numId="28">
    <w:abstractNumId w:val="28"/>
  </w:num>
  <w:num w:numId="29">
    <w:abstractNumId w:val="30"/>
  </w:num>
  <w:num w:numId="30">
    <w:abstractNumId w:val="40"/>
  </w:num>
  <w:num w:numId="31">
    <w:abstractNumId w:val="40"/>
    <w:lvlOverride w:ilvl="4">
      <w:startOverride w:val="7"/>
    </w:lvlOverride>
  </w:num>
  <w:num w:numId="32">
    <w:abstractNumId w:val="17"/>
  </w:num>
  <w:num w:numId="33">
    <w:abstractNumId w:val="35"/>
  </w:num>
  <w:num w:numId="34">
    <w:abstractNumId w:val="15"/>
  </w:num>
  <w:num w:numId="35">
    <w:abstractNumId w:val="31"/>
  </w:num>
  <w:num w:numId="36">
    <w:abstractNumId w:val="48"/>
  </w:num>
  <w:num w:numId="37">
    <w:abstractNumId w:val="3"/>
  </w:num>
  <w:num w:numId="38">
    <w:abstractNumId w:val="1"/>
  </w:num>
  <w:num w:numId="39">
    <w:abstractNumId w:val="44"/>
  </w:num>
  <w:num w:numId="40">
    <w:abstractNumId w:val="25"/>
  </w:num>
  <w:num w:numId="41">
    <w:abstractNumId w:val="13"/>
  </w:num>
  <w:num w:numId="42">
    <w:abstractNumId w:val="46"/>
  </w:num>
  <w:num w:numId="43">
    <w:abstractNumId w:val="14"/>
  </w:num>
  <w:num w:numId="44">
    <w:abstractNumId w:val="6"/>
  </w:num>
  <w:num w:numId="45">
    <w:abstractNumId w:val="10"/>
  </w:num>
  <w:num w:numId="46">
    <w:abstractNumId w:val="38"/>
  </w:num>
  <w:num w:numId="47">
    <w:abstractNumId w:val="9"/>
  </w:num>
  <w:num w:numId="48">
    <w:abstractNumId w:val="34"/>
  </w:num>
  <w:num w:numId="49">
    <w:abstractNumId w:val="18"/>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28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A5"/>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125"/>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0E3"/>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C60"/>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A5C"/>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C82"/>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6"/>
    <w:rsid w:val="0089045E"/>
    <w:rsid w:val="00890593"/>
    <w:rsid w:val="008905DD"/>
    <w:rsid w:val="0089060B"/>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40"/>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E18"/>
    <w:rsid w:val="00913F64"/>
    <w:rsid w:val="0091416D"/>
    <w:rsid w:val="00914187"/>
    <w:rsid w:val="009141A8"/>
    <w:rsid w:val="00914283"/>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1D"/>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834"/>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45"/>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723"/>
    <w:rsid w:val="00EB49F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130276</TotalTime>
  <Pages>3</Pages>
  <Words>667</Words>
  <Characters>3806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6225</cp:revision>
  <dcterms:created xsi:type="dcterms:W3CDTF">2024-06-20T08:51:00Z</dcterms:created>
  <dcterms:modified xsi:type="dcterms:W3CDTF">2025-01-29T10:06:00Z</dcterms:modified>
  <cp:category/>
</cp:coreProperties>
</file>