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15848" w14:textId="26DEBD9D" w:rsidR="0012447C" w:rsidRDefault="0048299B" w:rsidP="0048299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Семчишин Роксолана Олександрівна. Диференційована терапія гестаційної гіпертензії : дис... канд. мед. наук: 14.01.01 / Львівський національний медичний ун-т ім. Данила Галицького. — Л., 2007. — 176арк. — Бібліогр.: арк. 149-176.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8299B" w:rsidRPr="0048299B" w14:paraId="16A94DFD" w14:textId="77777777" w:rsidTr="0048299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8299B" w:rsidRPr="0048299B" w14:paraId="78D116B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9884508" w14:textId="77777777" w:rsidR="0048299B" w:rsidRPr="0048299B" w:rsidRDefault="0048299B" w:rsidP="004829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299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lastRenderedPageBreak/>
                    <w:t>Семчишин Роксолана Олександрівна. Диференційована терапія гестаційної гіпертензії. — Рукопис.</w:t>
                  </w:r>
                </w:p>
                <w:p w14:paraId="2BCD307B" w14:textId="77777777" w:rsidR="0048299B" w:rsidRPr="0048299B" w:rsidRDefault="0048299B" w:rsidP="004829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299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14.01.01 — акушерство та гінекологія. Львівський національний медичний університет імені Данила Галицького МОЗ України, 2007 рік.</w:t>
                  </w:r>
                </w:p>
                <w:p w14:paraId="79C999B9" w14:textId="77777777" w:rsidR="0048299B" w:rsidRPr="0048299B" w:rsidRDefault="0048299B" w:rsidP="004829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29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Мета даного дослідження полягає у вдосконаленні терапії ГГ, пов’язаної з недостатністю гестаційної трансформації судин плацентарного ложа матки, шляхом патогенетичної корекції первинних порушень кровоплину у спіральних артеріях.</w:t>
                  </w:r>
                </w:p>
                <w:p w14:paraId="461B5381" w14:textId="77777777" w:rsidR="0048299B" w:rsidRPr="0048299B" w:rsidRDefault="0048299B" w:rsidP="004829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29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Проведені дослідження показали, що при ГГ у 34–38% випадків спостерігаються розлади формування матково-плацентарних судин. При цьому простежуються первинні порушення інвазії цитотрофобласта в стінку спіральних артерій. У судинах зберігаються ендотеліальні та гладком’язеві елементи, які активно реагують на вазоконстрикторні стимули, мають вузький просвіт, що обумовлює високий преплацентарний опір плину крові.</w:t>
                  </w:r>
                </w:p>
                <w:p w14:paraId="215F5B19" w14:textId="77777777" w:rsidR="0048299B" w:rsidRPr="0048299B" w:rsidRDefault="0048299B" w:rsidP="004829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29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Доплерометричне дослідження матково-плацентарного кровообігу при розладах ангіогенезу судин плацентарного ложа матки виявляє високий опір плину крові в басейні маткової артерії. При цьому показники судинної резистентності (С/Д, ПІ та ІР) у спіральних артеріях перевищують нормативні величини на 25–32%.</w:t>
                  </w:r>
                </w:p>
                <w:p w14:paraId="6236A2C0" w14:textId="77777777" w:rsidR="0048299B" w:rsidRPr="0048299B" w:rsidRDefault="0048299B" w:rsidP="004829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29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ГГ, що супроводжується недостатністю кровоплину у функціональній підсистемі плацентарне ложе матки — плацента, спостерігаються явища гіперфункції міокарда, збільшення об’ємних показників кровообігу (УО на 30% та ХО серця на 20%) у вагітних.</w:t>
                  </w:r>
                </w:p>
                <w:p w14:paraId="650E8354" w14:textId="77777777" w:rsidR="0048299B" w:rsidRPr="0048299B" w:rsidRDefault="0048299B" w:rsidP="004829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29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 антигіпоксанта актовегіну та антагоніста іонів кальцію верапамілу при ГГ з високими індексами судинного опору у спіральних артеріях сприяє встановленню низькорезистентного кровоплину в басейні маткової артерії, позитивно впливає на показники центральної гемодинаміки у вагітних. На основі отриманих результатів розроблений та впроваджений у практику охорони здоров’я комплекс діагностично-терапевтичних заходів, що забезпечує зниження перинатальної патології при ГГ.</w:t>
                  </w:r>
                </w:p>
              </w:tc>
            </w:tr>
          </w:tbl>
          <w:p w14:paraId="08614539" w14:textId="77777777" w:rsidR="0048299B" w:rsidRPr="0048299B" w:rsidRDefault="0048299B" w:rsidP="00482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299B" w:rsidRPr="0048299B" w14:paraId="5512A2DD" w14:textId="77777777" w:rsidTr="0048299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8299B" w:rsidRPr="0048299B" w14:paraId="446ADF2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82191D0" w14:textId="77777777" w:rsidR="0048299B" w:rsidRPr="0048299B" w:rsidRDefault="0048299B" w:rsidP="004829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29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наведене теоретичне узагальнення та нове вирішення наукового завдання, що полягає у вдосконаленні терапії ГГ, пов’язаної з недостатністю гестаційної трансформації судин плацентарного ложа матки, шляхом патогенетичної корекції первинних порушень кровоплину в спіральних артеріях.</w:t>
                  </w:r>
                </w:p>
                <w:p w14:paraId="3AE3CD87" w14:textId="77777777" w:rsidR="0048299B" w:rsidRPr="0048299B" w:rsidRDefault="0048299B" w:rsidP="004829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29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34–38% випадків при ГГ виявляється недостатня міграція трофобласту в міометральні ділянки спіральних артерій матки.</w:t>
                  </w:r>
                </w:p>
                <w:p w14:paraId="50507C59" w14:textId="77777777" w:rsidR="0048299B" w:rsidRPr="0048299B" w:rsidRDefault="0048299B" w:rsidP="004829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29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Затримка гестаційної трансформації судин плацентарного ложа матки, збереження ними ендотеліальних та гладком’язевих елементів обумовлюють здатність останніх активно реагувати на вазоконстрикторні стимули.</w:t>
                  </w:r>
                </w:p>
                <w:p w14:paraId="3ABF4709" w14:textId="77777777" w:rsidR="0048299B" w:rsidRPr="0048299B" w:rsidRDefault="0048299B" w:rsidP="004829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29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Доплерометричне дослідження матково-плацентарного кровообігу при розладах ангіогенезу судин плацентарного ложа матки виявляє високий опір плину крові в басейні маткової артерії. </w:t>
                  </w:r>
                  <w:r w:rsidRPr="004829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При цьому показники судинної резистентності (С/Д, ПІ та ІР) у спіральних артеріях перевищують нормативні величини на 25–32%.</w:t>
                  </w:r>
                </w:p>
                <w:p w14:paraId="571502E7" w14:textId="77777777" w:rsidR="0048299B" w:rsidRPr="0048299B" w:rsidRDefault="0048299B" w:rsidP="004829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29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При ГГ, що супроводжується недостатністю кровоплину у функціональній підсистемі плацентарне ложе матки — плацента, спостерігаються явища гіперфункції міокарда, збільшення об’ємних показників кровообігу (УО на 30% та ХО серця на 20%) у вагітних.</w:t>
                  </w:r>
                </w:p>
                <w:p w14:paraId="5C1D4191" w14:textId="77777777" w:rsidR="0048299B" w:rsidRPr="0048299B" w:rsidRDefault="0048299B" w:rsidP="004829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29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Дослідження основних параметрів біофізичного профілю плода при ГГ з підвищенням індексів судинного опору в спіральних артеріях виявляє зниження реактивності та резервних можливостей організму плода. У цих випадках оцінка біофізичного профілю плода за шкалою A.Vintzileos et al. (1983) дорівнює 6,7 ± 0,3 балів.</w:t>
                  </w:r>
                </w:p>
                <w:p w14:paraId="696935DC" w14:textId="77777777" w:rsidR="0048299B" w:rsidRPr="0048299B" w:rsidRDefault="0048299B" w:rsidP="004829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29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Артеріальна гіпертензія у вагітних із первинним порушенням кровоплину в спіральних артеріях є компенсаторною реакцією, спрямованою на підсилення припливу крові до судин плацентарного ложа матки та покращення оксигенації плода. У цих випадках недоцільно застосовувати гіпотензивні препарати, що впливають на адренергічну інервацію.</w:t>
                  </w:r>
                </w:p>
                <w:p w14:paraId="04441F21" w14:textId="77777777" w:rsidR="0048299B" w:rsidRPr="0048299B" w:rsidRDefault="0048299B" w:rsidP="004829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29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Застосування антигіпоксанта актовегіну та антагоніста іонів кальцію верапамілу при ГГ з високими індексами судинного опору у спіральних артеріях сприяє встановленню низькорезистентного кровоплину в басейні маткової артерії, позитивно впливає на показники центральної гемодинаміки у вагітних та забезпечує зниження у 2 рази частоти народження дітей у стані асфіксії.</w:t>
                  </w:r>
                </w:p>
              </w:tc>
            </w:tr>
          </w:tbl>
          <w:p w14:paraId="53007EF0" w14:textId="77777777" w:rsidR="0048299B" w:rsidRPr="0048299B" w:rsidRDefault="0048299B" w:rsidP="00482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A1CF365" w14:textId="77777777" w:rsidR="0048299B" w:rsidRPr="0048299B" w:rsidRDefault="0048299B" w:rsidP="0048299B"/>
    <w:sectPr w:rsidR="0048299B" w:rsidRPr="0048299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96E16" w14:textId="77777777" w:rsidR="00B4507B" w:rsidRDefault="00B4507B">
      <w:pPr>
        <w:spacing w:after="0" w:line="240" w:lineRule="auto"/>
      </w:pPr>
      <w:r>
        <w:separator/>
      </w:r>
    </w:p>
  </w:endnote>
  <w:endnote w:type="continuationSeparator" w:id="0">
    <w:p w14:paraId="54CCA7DF" w14:textId="77777777" w:rsidR="00B4507B" w:rsidRDefault="00B45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15345" w14:textId="77777777" w:rsidR="00B4507B" w:rsidRDefault="00B4507B">
      <w:pPr>
        <w:spacing w:after="0" w:line="240" w:lineRule="auto"/>
      </w:pPr>
      <w:r>
        <w:separator/>
      </w:r>
    </w:p>
  </w:footnote>
  <w:footnote w:type="continuationSeparator" w:id="0">
    <w:p w14:paraId="31E48B31" w14:textId="77777777" w:rsidR="00B4507B" w:rsidRDefault="00B45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4507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0280"/>
    <w:multiLevelType w:val="multilevel"/>
    <w:tmpl w:val="4E546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047D27"/>
    <w:multiLevelType w:val="multilevel"/>
    <w:tmpl w:val="14B00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A07ABB"/>
    <w:multiLevelType w:val="multilevel"/>
    <w:tmpl w:val="33746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8000AF"/>
    <w:multiLevelType w:val="multilevel"/>
    <w:tmpl w:val="CD3E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D21C04"/>
    <w:multiLevelType w:val="multilevel"/>
    <w:tmpl w:val="F1920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4A16F5"/>
    <w:multiLevelType w:val="multilevel"/>
    <w:tmpl w:val="B148A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2848AD"/>
    <w:multiLevelType w:val="multilevel"/>
    <w:tmpl w:val="ADBEE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C14459"/>
    <w:multiLevelType w:val="multilevel"/>
    <w:tmpl w:val="743C9A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22300B"/>
    <w:multiLevelType w:val="multilevel"/>
    <w:tmpl w:val="C97A0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56D8F"/>
    <w:multiLevelType w:val="multilevel"/>
    <w:tmpl w:val="C9682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753CA0"/>
    <w:multiLevelType w:val="multilevel"/>
    <w:tmpl w:val="2938A9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A73A72"/>
    <w:multiLevelType w:val="multilevel"/>
    <w:tmpl w:val="ECFAD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83188"/>
    <w:multiLevelType w:val="multilevel"/>
    <w:tmpl w:val="D5220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542076"/>
    <w:multiLevelType w:val="multilevel"/>
    <w:tmpl w:val="F18635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7279F2"/>
    <w:multiLevelType w:val="multilevel"/>
    <w:tmpl w:val="107EE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9229BA"/>
    <w:multiLevelType w:val="multilevel"/>
    <w:tmpl w:val="24AE6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793E3F"/>
    <w:multiLevelType w:val="multilevel"/>
    <w:tmpl w:val="620E1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1362D9"/>
    <w:multiLevelType w:val="multilevel"/>
    <w:tmpl w:val="C1BA9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474345"/>
    <w:multiLevelType w:val="multilevel"/>
    <w:tmpl w:val="CC86A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81649C"/>
    <w:multiLevelType w:val="multilevel"/>
    <w:tmpl w:val="0882B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9C0A13"/>
    <w:multiLevelType w:val="multilevel"/>
    <w:tmpl w:val="6AD4D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D63022"/>
    <w:multiLevelType w:val="multilevel"/>
    <w:tmpl w:val="6F989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D10901"/>
    <w:multiLevelType w:val="multilevel"/>
    <w:tmpl w:val="433E1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435582"/>
    <w:multiLevelType w:val="multilevel"/>
    <w:tmpl w:val="3BCED8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D95FC4"/>
    <w:multiLevelType w:val="multilevel"/>
    <w:tmpl w:val="448C3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2501DF"/>
    <w:multiLevelType w:val="multilevel"/>
    <w:tmpl w:val="0BD65C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177A4C"/>
    <w:multiLevelType w:val="multilevel"/>
    <w:tmpl w:val="2D5A4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2C4566"/>
    <w:multiLevelType w:val="multilevel"/>
    <w:tmpl w:val="321A7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DA35F2"/>
    <w:multiLevelType w:val="multilevel"/>
    <w:tmpl w:val="A0464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462192"/>
    <w:multiLevelType w:val="multilevel"/>
    <w:tmpl w:val="377612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794CB9"/>
    <w:multiLevelType w:val="multilevel"/>
    <w:tmpl w:val="1AF6C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0F5E53"/>
    <w:multiLevelType w:val="multilevel"/>
    <w:tmpl w:val="C6B0FE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8C7C28"/>
    <w:multiLevelType w:val="multilevel"/>
    <w:tmpl w:val="B81EF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3C6762"/>
    <w:multiLevelType w:val="multilevel"/>
    <w:tmpl w:val="C632DE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23F53D5"/>
    <w:multiLevelType w:val="multilevel"/>
    <w:tmpl w:val="905A2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6F69F8"/>
    <w:multiLevelType w:val="multilevel"/>
    <w:tmpl w:val="39889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97D265D"/>
    <w:multiLevelType w:val="multilevel"/>
    <w:tmpl w:val="FB1E5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AE4A03"/>
    <w:multiLevelType w:val="multilevel"/>
    <w:tmpl w:val="57CA7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0D6592"/>
    <w:multiLevelType w:val="multilevel"/>
    <w:tmpl w:val="ADC03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292187"/>
    <w:multiLevelType w:val="multilevel"/>
    <w:tmpl w:val="C930C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F1043C"/>
    <w:multiLevelType w:val="multilevel"/>
    <w:tmpl w:val="248ED0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31"/>
  </w:num>
  <w:num w:numId="3">
    <w:abstractNumId w:val="16"/>
  </w:num>
  <w:num w:numId="4">
    <w:abstractNumId w:val="26"/>
  </w:num>
  <w:num w:numId="5">
    <w:abstractNumId w:val="28"/>
  </w:num>
  <w:num w:numId="6">
    <w:abstractNumId w:val="25"/>
  </w:num>
  <w:num w:numId="7">
    <w:abstractNumId w:val="39"/>
  </w:num>
  <w:num w:numId="8">
    <w:abstractNumId w:val="12"/>
  </w:num>
  <w:num w:numId="9">
    <w:abstractNumId w:val="24"/>
  </w:num>
  <w:num w:numId="10">
    <w:abstractNumId w:val="2"/>
  </w:num>
  <w:num w:numId="11">
    <w:abstractNumId w:val="6"/>
  </w:num>
  <w:num w:numId="12">
    <w:abstractNumId w:val="23"/>
  </w:num>
  <w:num w:numId="13">
    <w:abstractNumId w:val="11"/>
  </w:num>
  <w:num w:numId="14">
    <w:abstractNumId w:val="4"/>
  </w:num>
  <w:num w:numId="15">
    <w:abstractNumId w:val="27"/>
  </w:num>
  <w:num w:numId="16">
    <w:abstractNumId w:val="0"/>
  </w:num>
  <w:num w:numId="17">
    <w:abstractNumId w:val="20"/>
  </w:num>
  <w:num w:numId="18">
    <w:abstractNumId w:val="5"/>
  </w:num>
  <w:num w:numId="19">
    <w:abstractNumId w:val="40"/>
  </w:num>
  <w:num w:numId="20">
    <w:abstractNumId w:val="14"/>
  </w:num>
  <w:num w:numId="21">
    <w:abstractNumId w:val="35"/>
  </w:num>
  <w:num w:numId="22">
    <w:abstractNumId w:val="33"/>
  </w:num>
  <w:num w:numId="23">
    <w:abstractNumId w:val="8"/>
  </w:num>
  <w:num w:numId="24">
    <w:abstractNumId w:val="29"/>
  </w:num>
  <w:num w:numId="25">
    <w:abstractNumId w:val="18"/>
  </w:num>
  <w:num w:numId="26">
    <w:abstractNumId w:val="15"/>
  </w:num>
  <w:num w:numId="27">
    <w:abstractNumId w:val="13"/>
  </w:num>
  <w:num w:numId="28">
    <w:abstractNumId w:val="9"/>
  </w:num>
  <w:num w:numId="29">
    <w:abstractNumId w:val="38"/>
  </w:num>
  <w:num w:numId="30">
    <w:abstractNumId w:val="37"/>
  </w:num>
  <w:num w:numId="31">
    <w:abstractNumId w:val="22"/>
  </w:num>
  <w:num w:numId="32">
    <w:abstractNumId w:val="3"/>
  </w:num>
  <w:num w:numId="33">
    <w:abstractNumId w:val="19"/>
  </w:num>
  <w:num w:numId="34">
    <w:abstractNumId w:val="17"/>
  </w:num>
  <w:num w:numId="35">
    <w:abstractNumId w:val="21"/>
  </w:num>
  <w:num w:numId="36">
    <w:abstractNumId w:val="10"/>
  </w:num>
  <w:num w:numId="37">
    <w:abstractNumId w:val="7"/>
  </w:num>
  <w:num w:numId="38">
    <w:abstractNumId w:val="36"/>
  </w:num>
  <w:num w:numId="39">
    <w:abstractNumId w:val="1"/>
  </w:num>
  <w:num w:numId="40">
    <w:abstractNumId w:val="30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9B2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84"/>
    <w:rsid w:val="00502094"/>
    <w:rsid w:val="0050221A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7B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108906</TotalTime>
  <Pages>3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2098</cp:revision>
  <dcterms:created xsi:type="dcterms:W3CDTF">2024-06-20T08:51:00Z</dcterms:created>
  <dcterms:modified xsi:type="dcterms:W3CDTF">2024-12-29T12:01:00Z</dcterms:modified>
  <cp:category/>
</cp:coreProperties>
</file>