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5D339981" w:rsidR="00DE7D18" w:rsidRPr="00B128F5" w:rsidRDefault="00B128F5" w:rsidP="00B128F5">
      <w:bookmarkStart w:id="0" w:name="_GoBack"/>
      <w:r>
        <w:rPr>
          <w:rFonts w:ascii="Verdana" w:hAnsi="Verdana"/>
          <w:b/>
          <w:bCs/>
          <w:color w:val="000000"/>
          <w:shd w:val="clear" w:color="auto" w:fill="FFFFFF"/>
        </w:rPr>
        <w:t xml:space="preserve">Пурій Ганна Володимирівна. Обґрунтування граничної структури сукупних витрат при оцінці економічного стану підприємств гірничо-металургійного </w:t>
      </w:r>
      <w:proofErr w:type="gramStart"/>
      <w:r>
        <w:rPr>
          <w:rFonts w:ascii="Verdana" w:hAnsi="Verdana"/>
          <w:b/>
          <w:bCs/>
          <w:color w:val="000000"/>
          <w:shd w:val="clear" w:color="auto" w:fill="FFFFFF"/>
        </w:rPr>
        <w:t>комплексу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Держ. ВНЗ "Криворіз. нац. ун-т". - Кривий Ріг,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B128F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A90F6" w14:textId="77777777" w:rsidR="0094568D" w:rsidRDefault="0094568D">
      <w:pPr>
        <w:spacing w:after="0" w:line="240" w:lineRule="auto"/>
      </w:pPr>
      <w:r>
        <w:separator/>
      </w:r>
    </w:p>
  </w:endnote>
  <w:endnote w:type="continuationSeparator" w:id="0">
    <w:p w14:paraId="314FD6AA" w14:textId="77777777" w:rsidR="0094568D" w:rsidRDefault="00945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F5BDD" w14:textId="77777777" w:rsidR="0094568D" w:rsidRDefault="0094568D">
      <w:pPr>
        <w:spacing w:after="0" w:line="240" w:lineRule="auto"/>
      </w:pPr>
      <w:r>
        <w:separator/>
      </w:r>
    </w:p>
  </w:footnote>
  <w:footnote w:type="continuationSeparator" w:id="0">
    <w:p w14:paraId="7215DB90" w14:textId="77777777" w:rsidR="0094568D" w:rsidRDefault="00945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568D"/>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12856</TotalTime>
  <Pages>1</Pages>
  <Words>37</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2859</cp:revision>
  <cp:lastPrinted>2009-02-06T05:36:00Z</cp:lastPrinted>
  <dcterms:created xsi:type="dcterms:W3CDTF">2016-09-19T15:12:00Z</dcterms:created>
  <dcterms:modified xsi:type="dcterms:W3CDTF">2017-01-17T00:03:00Z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