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258E" w14:textId="525D6C3F" w:rsidR="00D227E5" w:rsidRDefault="009528CC" w:rsidP="009528C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Жемчужкіна Тетяна Володимирівна. Комп'ютерна диференційна діагностика порушень вуглеводного обміну на основі однокомпартментних математичних моделей : Дис... канд. наук: 05.11.17 - 2002.</w:t>
      </w:r>
    </w:p>
    <w:p w14:paraId="116609BC" w14:textId="77777777" w:rsidR="009528CC" w:rsidRPr="009528CC" w:rsidRDefault="009528CC" w:rsidP="009528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28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Жемчужкіна Т.В. Комп'ютерна диференційна діагностика порушень вуглеводного обміну на основі однокомпартментних математичних моделей.</w:t>
      </w:r>
      <w:r w:rsidRPr="009528CC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12903902" w14:textId="77777777" w:rsidR="009528CC" w:rsidRPr="009528CC" w:rsidRDefault="009528CC" w:rsidP="009528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28C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05.11.17 – медичні прилади та системи. – Харківський національний університет радіоелектроніки, Харків, 2002.</w:t>
      </w:r>
    </w:p>
    <w:p w14:paraId="41E7AEAF" w14:textId="77777777" w:rsidR="009528CC" w:rsidRPr="009528CC" w:rsidRDefault="009528CC" w:rsidP="009528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28C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питанням математичного моделювання вуглеводного обміну з метою розробки способів комп'ютерної диференційної діагностики порушень вуглеводного обміну і поліпшення компенсації цукрового діабету.</w:t>
      </w:r>
    </w:p>
    <w:p w14:paraId="702548D0" w14:textId="77777777" w:rsidR="009528CC" w:rsidRPr="009528CC" w:rsidRDefault="009528CC" w:rsidP="009528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28CC">
        <w:rPr>
          <w:rFonts w:ascii="Times New Roman" w:eastAsia="Times New Roman" w:hAnsi="Times New Roman" w:cs="Times New Roman"/>
          <w:color w:val="000000"/>
          <w:sz w:val="27"/>
          <w:szCs w:val="27"/>
        </w:rPr>
        <w:t>Модифіковано функціонально-феноменологічну математичну модель перорального глюкозотолерантного тесту на випадок довільного глюкозного навантаження і розроблені нові математичні моделі секреції інсуліну підшлунковою залозою в експериментах in vitro та in vivo, що являють собою диференційні рівняння першого порядку з запізнілим аргументом. Параметри моделей мають конкретний фізіологічний зміст, а чисельні значення кожного з них визначають вид глікемічної кривої і інтенсивності секреції інсуліну на відповідній ділянці.</w:t>
      </w:r>
    </w:p>
    <w:p w14:paraId="61673A36" w14:textId="77777777" w:rsidR="009528CC" w:rsidRPr="009528CC" w:rsidRDefault="009528CC" w:rsidP="009528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28CC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Представлено спосіб диференційної діагностики порушень толерантності до глюкози по значенням числових параметрів розроблених математичних моделей.</w:t>
      </w:r>
    </w:p>
    <w:p w14:paraId="50312420" w14:textId="77777777" w:rsidR="009528CC" w:rsidRPr="009528CC" w:rsidRDefault="009528CC" w:rsidP="009528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28CC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 спосіб поліпшення компенсації цукрового діабету за допомогою комп'ютерного підбору оптимального режиму інсулінотерапії і керування автоматизованим насосом-дозатором інсуліну в режимі, близькому до фізіологічного на основі розроблених індивідуалізованих математичних моделей. Розроблено структурну схему біотехнічної безсенсорної системи автоматизованої компенсації цукрового діабету і рекомендації для її створення.</w:t>
      </w:r>
    </w:p>
    <w:p w14:paraId="650E9EC7" w14:textId="77777777" w:rsidR="009528CC" w:rsidRPr="009528CC" w:rsidRDefault="009528CC" w:rsidP="009528CC"/>
    <w:sectPr w:rsidR="009528CC" w:rsidRPr="009528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B0FA" w14:textId="77777777" w:rsidR="002535CB" w:rsidRDefault="002535CB">
      <w:pPr>
        <w:spacing w:after="0" w:line="240" w:lineRule="auto"/>
      </w:pPr>
      <w:r>
        <w:separator/>
      </w:r>
    </w:p>
  </w:endnote>
  <w:endnote w:type="continuationSeparator" w:id="0">
    <w:p w14:paraId="2EBD1E7D" w14:textId="77777777" w:rsidR="002535CB" w:rsidRDefault="0025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975B" w14:textId="77777777" w:rsidR="002535CB" w:rsidRDefault="002535CB">
      <w:pPr>
        <w:spacing w:after="0" w:line="240" w:lineRule="auto"/>
      </w:pPr>
      <w:r>
        <w:separator/>
      </w:r>
    </w:p>
  </w:footnote>
  <w:footnote w:type="continuationSeparator" w:id="0">
    <w:p w14:paraId="4C54C859" w14:textId="77777777" w:rsidR="002535CB" w:rsidRDefault="0025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35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5CB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68326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569</cp:revision>
  <dcterms:created xsi:type="dcterms:W3CDTF">2024-06-20T08:51:00Z</dcterms:created>
  <dcterms:modified xsi:type="dcterms:W3CDTF">2024-11-13T20:44:00Z</dcterms:modified>
  <cp:category/>
</cp:coreProperties>
</file>