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FC027C" w:rsidRDefault="00FC027C" w:rsidP="00FC027C">
      <w:pPr>
        <w:widowControl w:val="0"/>
        <w:suppressLineNumbers/>
        <w:spacing w:line="360" w:lineRule="exact"/>
        <w:jc w:val="center"/>
        <w:rPr>
          <w:b/>
          <w:caps/>
          <w:sz w:val="32"/>
          <w:szCs w:val="32"/>
        </w:rPr>
      </w:pPr>
    </w:p>
    <w:p w:rsidR="00963B20" w:rsidRDefault="00963B20" w:rsidP="00963B20">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Международно-правовая защита окружающей среды в рамках ассо</w:t>
      </w:r>
      <w:r>
        <w:rPr>
          <w:rFonts w:ascii="Verdana" w:hAnsi="Verdana"/>
          <w:color w:val="000000"/>
          <w:sz w:val="18"/>
          <w:szCs w:val="18"/>
          <w:shd w:val="clear" w:color="auto" w:fill="FFFFFF"/>
        </w:rPr>
        <w:t xml:space="preserve">циации государств Юго-Восточной </w:t>
      </w:r>
      <w:r>
        <w:rPr>
          <w:rFonts w:ascii="Verdana" w:hAnsi="Verdana"/>
          <w:b/>
          <w:bCs/>
          <w:color w:val="000000"/>
          <w:sz w:val="18"/>
          <w:szCs w:val="18"/>
        </w:rPr>
        <w:t>Год: </w:t>
      </w:r>
    </w:p>
    <w:p w:rsidR="00963B20" w:rsidRDefault="00963B20" w:rsidP="00963B20">
      <w:pPr>
        <w:spacing w:line="270" w:lineRule="atLeast"/>
        <w:rPr>
          <w:rFonts w:ascii="Verdana" w:hAnsi="Verdana"/>
          <w:color w:val="000000"/>
          <w:sz w:val="18"/>
          <w:szCs w:val="18"/>
        </w:rPr>
      </w:pPr>
      <w:r>
        <w:rPr>
          <w:rFonts w:ascii="Verdana" w:hAnsi="Verdana"/>
          <w:color w:val="000000"/>
          <w:sz w:val="18"/>
          <w:szCs w:val="18"/>
        </w:rPr>
        <w:t>2013</w:t>
      </w:r>
    </w:p>
    <w:p w:rsidR="00963B20" w:rsidRDefault="00963B20" w:rsidP="00963B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3B20" w:rsidRDefault="00963B20" w:rsidP="00963B20">
      <w:pPr>
        <w:spacing w:line="270" w:lineRule="atLeast"/>
        <w:rPr>
          <w:rFonts w:ascii="Verdana" w:hAnsi="Verdana"/>
          <w:color w:val="000000"/>
          <w:sz w:val="18"/>
          <w:szCs w:val="18"/>
        </w:rPr>
      </w:pPr>
      <w:r>
        <w:rPr>
          <w:rFonts w:ascii="Verdana" w:hAnsi="Verdana"/>
          <w:color w:val="000000"/>
          <w:sz w:val="18"/>
          <w:szCs w:val="18"/>
        </w:rPr>
        <w:t>Нгуен Куанг Тьен</w:t>
      </w:r>
    </w:p>
    <w:p w:rsidR="00963B20" w:rsidRDefault="00963B20" w:rsidP="00963B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3B20" w:rsidRDefault="00963B20" w:rsidP="00963B2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3B20" w:rsidRDefault="00963B20" w:rsidP="00963B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3B20" w:rsidRDefault="00963B20" w:rsidP="00963B20">
      <w:pPr>
        <w:spacing w:line="270" w:lineRule="atLeast"/>
        <w:rPr>
          <w:rFonts w:ascii="Verdana" w:hAnsi="Verdana"/>
          <w:color w:val="000000"/>
          <w:sz w:val="18"/>
          <w:szCs w:val="18"/>
        </w:rPr>
      </w:pPr>
      <w:r>
        <w:rPr>
          <w:rFonts w:ascii="Verdana" w:hAnsi="Verdana"/>
          <w:color w:val="000000"/>
          <w:sz w:val="18"/>
          <w:szCs w:val="18"/>
        </w:rPr>
        <w:t>Москва</w:t>
      </w:r>
    </w:p>
    <w:p w:rsidR="00963B20" w:rsidRDefault="00963B20" w:rsidP="00963B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3B20" w:rsidRDefault="00963B20" w:rsidP="00963B20">
      <w:pPr>
        <w:spacing w:line="270" w:lineRule="atLeast"/>
        <w:rPr>
          <w:rFonts w:ascii="Verdana" w:hAnsi="Verdana"/>
          <w:color w:val="000000"/>
          <w:sz w:val="18"/>
          <w:szCs w:val="18"/>
        </w:rPr>
      </w:pPr>
      <w:r>
        <w:rPr>
          <w:rFonts w:ascii="Verdana" w:hAnsi="Verdana"/>
          <w:color w:val="000000"/>
          <w:sz w:val="18"/>
          <w:szCs w:val="18"/>
        </w:rPr>
        <w:t>12.00.10</w:t>
      </w:r>
    </w:p>
    <w:p w:rsidR="00963B20" w:rsidRDefault="00963B20" w:rsidP="00963B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3B20" w:rsidRDefault="00963B20" w:rsidP="00963B20">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963B20" w:rsidRDefault="00963B20" w:rsidP="00963B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3B20" w:rsidRDefault="00963B20" w:rsidP="00963B20">
      <w:pPr>
        <w:spacing w:line="270" w:lineRule="atLeast"/>
        <w:rPr>
          <w:rFonts w:ascii="Verdana" w:hAnsi="Verdana"/>
          <w:color w:val="000000"/>
          <w:sz w:val="18"/>
          <w:szCs w:val="18"/>
        </w:rPr>
      </w:pPr>
      <w:r>
        <w:rPr>
          <w:rFonts w:ascii="Verdana" w:hAnsi="Verdana"/>
          <w:color w:val="000000"/>
          <w:sz w:val="18"/>
          <w:szCs w:val="18"/>
        </w:rPr>
        <w:t>220</w:t>
      </w:r>
    </w:p>
    <w:p w:rsidR="00963B20" w:rsidRDefault="00963B20" w:rsidP="00963B2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Нгуен Куанг Тьен</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АССОЦИАЦИЯ</w:t>
      </w:r>
      <w:r>
        <w:rPr>
          <w:rStyle w:val="WW8Num3z0"/>
          <w:rFonts w:ascii="Verdana" w:hAnsi="Verdana"/>
          <w:color w:val="000000"/>
          <w:sz w:val="18"/>
          <w:szCs w:val="18"/>
        </w:rPr>
        <w:t> </w:t>
      </w:r>
      <w:r>
        <w:rPr>
          <w:rStyle w:val="WW8Num4z0"/>
          <w:rFonts w:ascii="Verdana" w:hAnsi="Verdana"/>
          <w:color w:val="4682B4"/>
          <w:sz w:val="18"/>
          <w:szCs w:val="18"/>
        </w:rPr>
        <w:t>ГОСУДАРСТВ</w:t>
      </w:r>
      <w:r>
        <w:rPr>
          <w:rStyle w:val="WW8Num3z0"/>
          <w:rFonts w:ascii="Verdana" w:hAnsi="Verdana"/>
          <w:color w:val="000000"/>
          <w:sz w:val="18"/>
          <w:szCs w:val="18"/>
        </w:rPr>
        <w:t> </w:t>
      </w:r>
      <w:r>
        <w:rPr>
          <w:rFonts w:ascii="Verdana" w:hAnsi="Verdana"/>
          <w:color w:val="000000"/>
          <w:sz w:val="18"/>
          <w:szCs w:val="18"/>
        </w:rPr>
        <w:t>ЮГО-ВОСТОЧНОЙ АЗИИ (АСЕАН) КАК РЕГИОНАЛЬНАЯ МЕЖДУНАРОДНАЯ</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ОРГАНИЗАЦИЯ ЭКОНОМИЧЕСКОЙ ИНТЕГРАЦИИ</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становления и развития АСЕАН</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Первый этап (1967 - 1976 гг.)</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Второй этап (1976 - 1992 гг.)</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Третий этап (1992 - 2008 гг.)</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2008 год - превращение АСЕАН в международную межправительственную организацию</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Институциональный механизм защиты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 в ^ АСЕАН</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Концепция и принципы устойчивого развития в деятельности ^ АСЕАН</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ЭКОСИСТЕМНЫЙ ПОДХОД К ОХРАНЕ g</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В ДЕЯТЕЛЬНОСТИ АСЕАН</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экосистемного управления</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АСЕАН 1985 г. о сохранении природы и природных ресурсов как хронологически второй пример экосистемного управления</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Юго-Восточная Азия как единая экосистема и «</w:t>
      </w:r>
      <w:r>
        <w:rPr>
          <w:rStyle w:val="WW8Num4z0"/>
          <w:rFonts w:ascii="Verdana" w:hAnsi="Verdana"/>
          <w:color w:val="4682B4"/>
          <w:sz w:val="18"/>
          <w:szCs w:val="18"/>
        </w:rPr>
        <w:t>метод АСЕАН</w:t>
      </w:r>
      <w:r>
        <w:rPr>
          <w:rFonts w:ascii="Verdana" w:hAnsi="Verdana"/>
          <w:color w:val="000000"/>
          <w:sz w:val="18"/>
          <w:szCs w:val="18"/>
        </w:rPr>
        <w:t>»</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НАПРАВЛЕНИЯ И ПЕРСПЕКТИВЫ ПРИРОДООХРАННОЙ ДЕЯТЕЛЬНОСТИ АСЕАН</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Международное сотрудничество в области защиты и сохранения паркового хозяйства</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Международное сотрудничество в борьбе с трансграничным переносом дымового загрязнения</w:t>
      </w:r>
    </w:p>
    <w:p w:rsidR="00963B20" w:rsidRDefault="00963B20" w:rsidP="00963B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Охрана окружающей среды в АСЕАН и право на развитие</w:t>
      </w:r>
    </w:p>
    <w:p w:rsidR="00963B20" w:rsidRDefault="00963B20" w:rsidP="00963B2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"Международно-правовая защита окружающей среды в рамках ассоциации государств Юго-Восточной Азии"</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Развернувшаяся научно-техническая революция невиданно расширила возможности и увеличила интенсивность антропогенного воздействия на окружающую среду. Современная экологическая напряженность угрожает существованию всего человечества в целом. Глобальные экологические проблемы превращают сохранение и восстановление окружающей среды как общей системы жизнеобеспечения человека в первостепенную задачу.</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60-е - 70-е гг. XX в. под влиянием решений международных конференций по окружающей среде начинает бурно и динамично развиваться национальное экологическое законодательство индустриально развитых государств. Такая</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активность привела к временному улучшению экологической ситуации в указанных государствах, но имела и негативные последствия, выразившиеся в перемещении экологически «</w:t>
      </w:r>
      <w:r>
        <w:rPr>
          <w:rStyle w:val="WW8Num4z0"/>
          <w:rFonts w:ascii="Verdana" w:hAnsi="Verdana"/>
          <w:color w:val="4682B4"/>
          <w:sz w:val="18"/>
          <w:szCs w:val="18"/>
        </w:rPr>
        <w:t>грязных</w:t>
      </w:r>
      <w:r>
        <w:rPr>
          <w:rFonts w:ascii="Verdana" w:hAnsi="Verdana"/>
          <w:color w:val="000000"/>
          <w:sz w:val="18"/>
          <w:szCs w:val="18"/>
        </w:rPr>
        <w:t xml:space="preserve">» технологий, отраслей промышленности, </w:t>
      </w:r>
      <w:r>
        <w:rPr>
          <w:rFonts w:ascii="Verdana" w:hAnsi="Verdana"/>
          <w:color w:val="000000"/>
          <w:sz w:val="18"/>
          <w:szCs w:val="18"/>
        </w:rPr>
        <w:lastRenderedPageBreak/>
        <w:t>ресурсоемких циклов производства в развивающиеся страны1. Осознавая этот факт, тем не менее, большинство развивающихся стран не отказались от курса на промышленное развитие. Более того, почти все они руководствуются установкой «</w:t>
      </w:r>
      <w:r>
        <w:rPr>
          <w:rStyle w:val="WW8Num4z0"/>
          <w:rFonts w:ascii="Verdana" w:hAnsi="Verdana"/>
          <w:color w:val="4682B4"/>
          <w:sz w:val="18"/>
          <w:szCs w:val="18"/>
        </w:rPr>
        <w:t>развитие во что бы то ни стало</w:t>
      </w:r>
      <w:r>
        <w:rPr>
          <w:rFonts w:ascii="Verdana" w:hAnsi="Verdana"/>
          <w:color w:val="000000"/>
          <w:sz w:val="18"/>
          <w:szCs w:val="18"/>
        </w:rPr>
        <w:t>». В результате этого резко ухудшается экологическая ситуация в развивающихся странах. Учитывая системную взаимосвязанность глобальных экологических процессов, трудно говорить о глобальной экологической безопасности, когда экологическая ситуация в указанных странах не улучшается. Именно развивающимся странам отводится особо важная роль в борьбе с глобальными экологическими вызовами . См.:</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Принцип международного сотрудничества глазами юриста-эколога // Вестник</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Сер. Юрид. науки. -М., 2005. -№ 2. - С. 116.</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Подробнее см.:</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Право на развитие и экологическая безопасность развивающихся стран (международно-правовые вопросы). - М: ЭКОН, 2000.</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развивающихся стран в последнее время повышенным вниманием пользуются страны региона Юго-Восточной Азии3, где региональное экологическое сотрудничество осуществляется в рамках Ассоциации государств Юго-Восточной Азии (</w:t>
      </w:r>
      <w:r>
        <w:rPr>
          <w:rStyle w:val="WW8Num4z0"/>
          <w:rFonts w:ascii="Verdana" w:hAnsi="Verdana"/>
          <w:color w:val="4682B4"/>
          <w:sz w:val="18"/>
          <w:szCs w:val="18"/>
        </w:rPr>
        <w:t>АСЕАН</w:t>
      </w:r>
      <w:r>
        <w:rPr>
          <w:rFonts w:ascii="Verdana" w:hAnsi="Verdana"/>
          <w:color w:val="000000"/>
          <w:sz w:val="18"/>
          <w:szCs w:val="18"/>
        </w:rPr>
        <w:t>)4. В 2008 г. Устав АСЕАН официально превращает ее в полноценную международную межправительственную организацию. Данное событие, наряду с планом создания триединого Сообщества АСЕАН к 2015 г., активизирует формирование международно-правовой основы интеграционных процессов внутри Ассоциации во всех сферах.</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глобализацию международной экономики и усиление роли универсальных методов международно-правого регулирования, региональные механизмы международно-правого регулирования не отмирают, а, наоборот, развиваются и в ряде случаев умножаются. Одним из таких феноменов является институт региональной международной межправительственной организации5. Как одна из наиболее удачных региональных международных межправительственных организаций6, АСЕАН в последние годы привлекает повышенное внимание юристов-международников.</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Юго-Восточная Азия является одним из регионов наиболее богатых биологическим разнообразием. В трех странах региона (Индонезия, Малай</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Юго-Восточная Азия охватывает континентальные и островные территории между Китаем, Индией и Австралией. На континентальной части расположены Вьетнам, Камбоджа, Лаос, Мьянма, Таиланд, а на островной - Бруней, Восточный Тимор, Малайзия, Индонезия, Сингапур, Филиппины.</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Население стран региона составляет около 8 % от численности людей, живущих на нашей планете. Они исповедуют различные религии и говорят на разных языках. По форме правления страны Юго-Восточной Азии различны: одни являются республиками, другие (Бруней и Таиланд) - монархиями. Юго-Восточная Азия является одним из наиболее быстро и динамично развивающихся регионов мира Суммарный</w:t>
      </w:r>
      <w:r>
        <w:rPr>
          <w:rStyle w:val="WW8Num3z0"/>
          <w:rFonts w:ascii="Verdana" w:hAnsi="Verdana"/>
          <w:color w:val="000000"/>
          <w:sz w:val="18"/>
          <w:szCs w:val="18"/>
        </w:rPr>
        <w:t> </w:t>
      </w:r>
      <w:r>
        <w:rPr>
          <w:rStyle w:val="WW8Num4z0"/>
          <w:rFonts w:ascii="Verdana" w:hAnsi="Verdana"/>
          <w:color w:val="4682B4"/>
          <w:sz w:val="18"/>
          <w:szCs w:val="18"/>
        </w:rPr>
        <w:t>ВВП</w:t>
      </w:r>
      <w:r>
        <w:rPr>
          <w:rStyle w:val="WW8Num3z0"/>
          <w:rFonts w:ascii="Verdana" w:hAnsi="Verdana"/>
          <w:color w:val="000000"/>
          <w:sz w:val="18"/>
          <w:szCs w:val="18"/>
        </w:rPr>
        <w:t> </w:t>
      </w:r>
      <w:r>
        <w:rPr>
          <w:rFonts w:ascii="Verdana" w:hAnsi="Verdana"/>
          <w:color w:val="000000"/>
          <w:sz w:val="18"/>
          <w:szCs w:val="18"/>
        </w:rPr>
        <w:t>стран региона составил в 2009 г. примерно 1497 млрд. долларов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Несмотря на тяжелейшие последствия финансового кризиса, рост их суммарного ВВП продолжался и в 2008 и 2009 гг. на 4,4 % и 1,5 % соответственно. - См.: Selected basic ASEAN indicators of 15 February 2011. URL: http://www.asean.org/archi-ve/stat/SummaryTable.pdf (дата обращения: 08.01.2013).</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АСЕАН была образована 8 августа 1967 г., когда была принята Бангкокская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 Первоначально в нее вошли: Индонезия, Малайзия, Сингапур, Таиланд и Филиппины.</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оформление произошло в 1976 г., когда были подписаны основные</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Договор о дружбе и сотрудничестве в Юго-Восточной Азии; Декларация о согласии 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учреждении постоянного Секретариата АСЕАН. Единственная страна, расположенная в Юго-Восточной Азии, но не являющаяся членом АСЕАН, -Восточный Тимор. В 2002 г. эта страна получила статус наблюдателя, а ее</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выразил надежду на вступление его страны в Ассоциацию в течение ближайшего десятилетия. В феврале 2011 г. Восточный Тимор обратился с заявкой о вступлении в члены АСЕАН (заявка до сих пор не рассмотрена).</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Капустин А Я Международные организации в глобализирующемся мире. - М.: РУДН, 2010. - С. 185.</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Подробнее о современных региональных межправительственных организациях см.: Право международных организаций: учебник / под ред.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А.Х. Абашидзе. - Изд. 2-е, испр. и доп. - М.: РУДН, 2013. -С. 258 - 288; Энциклопедия международных организаций: в 3 т. / авт.-сост. C.B.</w:t>
      </w:r>
      <w:r>
        <w:rPr>
          <w:rStyle w:val="WW8Num3z0"/>
          <w:rFonts w:ascii="Verdana" w:hAnsi="Verdana"/>
          <w:color w:val="000000"/>
          <w:sz w:val="18"/>
          <w:szCs w:val="18"/>
        </w:rPr>
        <w:t> </w:t>
      </w:r>
      <w:r>
        <w:rPr>
          <w:rStyle w:val="WW8Num4z0"/>
          <w:rFonts w:ascii="Verdana" w:hAnsi="Verdana"/>
          <w:color w:val="4682B4"/>
          <w:sz w:val="18"/>
          <w:szCs w:val="18"/>
        </w:rPr>
        <w:t>Бахин</w:t>
      </w:r>
      <w:r>
        <w:rPr>
          <w:rFonts w:ascii="Verdana" w:hAnsi="Verdana"/>
          <w:color w:val="000000"/>
          <w:sz w:val="18"/>
          <w:szCs w:val="18"/>
        </w:rPr>
        <w:t>. - СПб. : ИД СПБГУ, 2003.-T. 1. - С. 28-30. зия и Филиппины) в совокупности насчитывается около 80 % глобального биоразнообразия. Лесное покрытие в регионе составляет около 45 % (средний мировой показатель составляет 30,3 %). Площадь мангровых лесов в регионе составляет 34% от общемировой, и в них обитают 64 % видов мангроу вых растений и животных . Защита окружающей среды в Юго-Восточной Азии имеет не только региональный, но и глобальный характер.</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Деградация окружающей среды в странах региона связана с их вступлением в эпоху индустриализации - экстенсивного экономического развития для достижения быстрого экономического роста. В результате этого, за последние пятьдесят лет они достигли немалых успехов в своем экономическом развитии. Но за этими успехами стоит немалая экологическая цена. Вследствие бурного развития добывающей промышленности истощены все природные ресурсы. Так, например, наращивание объемов вырубки леса приводит к заметному уменьшению лесного покрова в масштабах региона. Согласно данным четвертого доклада о состоянии окружающей среды АСЕАН 2009 г., процесс обезлесения в Юго-Восточной Азии в семь раз превышает средние мировые показатели (1,1 % и 0,16 % соответственно8). В период с 2000 по 2007 гг. ежегодные потери леса достигали порядка 23 144 кв. км. При этом две страны АСЕАН - Малайзия и Индонезия - занимают первое и второе место в списке крупнейших мировых экспортеров пальмового масла9. Обезлесение угрожает не только биологическому разнообразию региона10, но и</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серьезный ущерб сельскому хозяйству, вызывая нарушение водного баланса и эрозию почв. Большой проблемой для большинства стран АСЕАН также является ухудшение качества водных ресурсов, вызываемое загрязне</w:t>
      </w:r>
    </w:p>
    <w:p w:rsidR="00963B20" w:rsidRPr="00963B20" w:rsidRDefault="00963B20" w:rsidP="00963B20">
      <w:pPr>
        <w:pStyle w:val="WW8Num2z0"/>
        <w:shd w:val="clear" w:color="auto" w:fill="F7F7F7"/>
        <w:spacing w:before="75" w:line="270" w:lineRule="atLeast"/>
        <w:ind w:firstLine="480"/>
        <w:jc w:val="both"/>
        <w:rPr>
          <w:rFonts w:ascii="Verdana" w:hAnsi="Verdana"/>
          <w:color w:val="000000"/>
          <w:sz w:val="18"/>
          <w:szCs w:val="18"/>
          <w:lang w:val="en-US"/>
        </w:rPr>
      </w:pPr>
      <w:r w:rsidRPr="00963B20">
        <w:rPr>
          <w:rFonts w:ascii="Verdana" w:hAnsi="Verdana"/>
          <w:color w:val="000000"/>
          <w:sz w:val="18"/>
          <w:szCs w:val="18"/>
          <w:lang w:val="en-US"/>
        </w:rPr>
        <w:t xml:space="preserve">7 </w:t>
      </w:r>
      <w:r>
        <w:rPr>
          <w:rFonts w:ascii="Verdana" w:hAnsi="Verdana"/>
          <w:color w:val="000000"/>
          <w:sz w:val="18"/>
          <w:szCs w:val="18"/>
        </w:rPr>
        <w:t>См</w:t>
      </w:r>
      <w:r w:rsidRPr="00963B20">
        <w:rPr>
          <w:rFonts w:ascii="Verdana" w:hAnsi="Verdana"/>
          <w:color w:val="000000"/>
          <w:sz w:val="18"/>
          <w:szCs w:val="18"/>
          <w:lang w:val="en-US"/>
        </w:rPr>
        <w:t xml:space="preserve">.: An overview on ASEAN environmental cooperation. </w:t>
      </w:r>
      <w:r>
        <w:rPr>
          <w:rFonts w:ascii="Verdana" w:hAnsi="Verdana"/>
          <w:color w:val="000000"/>
          <w:sz w:val="18"/>
          <w:szCs w:val="18"/>
        </w:rPr>
        <w:t xml:space="preserve">URL: http://environment.asean.org/index.php?page=ov-erview (дата обращения: 08.01. </w:t>
      </w:r>
      <w:r w:rsidRPr="00963B20">
        <w:rPr>
          <w:rFonts w:ascii="Verdana" w:hAnsi="Verdana"/>
          <w:color w:val="000000"/>
          <w:sz w:val="18"/>
          <w:szCs w:val="18"/>
          <w:lang w:val="en-US"/>
        </w:rPr>
        <w:t>2013).</w:t>
      </w:r>
    </w:p>
    <w:p w:rsidR="00963B20" w:rsidRPr="00963B20" w:rsidRDefault="00963B20" w:rsidP="00963B20">
      <w:pPr>
        <w:pStyle w:val="WW8Num2z0"/>
        <w:shd w:val="clear" w:color="auto" w:fill="F7F7F7"/>
        <w:spacing w:before="75" w:line="270" w:lineRule="atLeast"/>
        <w:ind w:firstLine="480"/>
        <w:jc w:val="both"/>
        <w:rPr>
          <w:rFonts w:ascii="Verdana" w:hAnsi="Verdana"/>
          <w:color w:val="000000"/>
          <w:sz w:val="18"/>
          <w:szCs w:val="18"/>
          <w:lang w:val="en-US"/>
        </w:rPr>
      </w:pPr>
      <w:r w:rsidRPr="00963B20">
        <w:rPr>
          <w:rFonts w:ascii="Verdana" w:hAnsi="Verdana"/>
          <w:color w:val="000000"/>
          <w:sz w:val="18"/>
          <w:szCs w:val="18"/>
          <w:lang w:val="en-US"/>
        </w:rPr>
        <w:t xml:space="preserve">8 </w:t>
      </w:r>
      <w:r>
        <w:rPr>
          <w:rFonts w:ascii="Verdana" w:hAnsi="Verdana"/>
          <w:color w:val="000000"/>
          <w:sz w:val="18"/>
          <w:szCs w:val="18"/>
        </w:rPr>
        <w:t>См</w:t>
      </w:r>
      <w:r w:rsidRPr="00963B20">
        <w:rPr>
          <w:rFonts w:ascii="Verdana" w:hAnsi="Verdana"/>
          <w:color w:val="000000"/>
          <w:sz w:val="18"/>
          <w:szCs w:val="18"/>
          <w:lang w:val="en-US"/>
        </w:rPr>
        <w:t>.: Fourth ASEAN State of the Environment Report 2009. - Jakarta: ASEAN Secretariat, 2009. - P. 54.</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sidRPr="00963B20">
        <w:rPr>
          <w:rFonts w:ascii="Verdana" w:hAnsi="Verdana"/>
          <w:color w:val="000000"/>
          <w:sz w:val="18"/>
          <w:szCs w:val="18"/>
          <w:lang w:val="en-US"/>
        </w:rPr>
        <w:t xml:space="preserve">9 </w:t>
      </w:r>
      <w:r>
        <w:rPr>
          <w:rFonts w:ascii="Verdana" w:hAnsi="Verdana"/>
          <w:color w:val="000000"/>
          <w:sz w:val="18"/>
          <w:szCs w:val="18"/>
        </w:rPr>
        <w:t>См</w:t>
      </w:r>
      <w:r w:rsidRPr="00963B20">
        <w:rPr>
          <w:rFonts w:ascii="Verdana" w:hAnsi="Verdana"/>
          <w:color w:val="000000"/>
          <w:sz w:val="18"/>
          <w:szCs w:val="18"/>
          <w:lang w:val="en-US"/>
        </w:rPr>
        <w:t xml:space="preserve">.: MacKinnon /. Palm oil: The biofuel of the future driving an ecological disaster now // The Guardian. - 2007. - 11 April. </w:t>
      </w:r>
      <w:r>
        <w:rPr>
          <w:rFonts w:ascii="Verdana" w:hAnsi="Verdana"/>
          <w:color w:val="000000"/>
          <w:sz w:val="18"/>
          <w:szCs w:val="18"/>
        </w:rPr>
        <w:t>URL: http://www.guardian.co.uk/environment/2007/apr/04/energy.indonesia (дата обращения: 28.11.2012).</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sidRPr="00963B20">
        <w:rPr>
          <w:rFonts w:ascii="Verdana" w:hAnsi="Verdana"/>
          <w:color w:val="000000"/>
          <w:sz w:val="18"/>
          <w:szCs w:val="18"/>
          <w:lang w:val="en-US"/>
        </w:rPr>
        <w:t xml:space="preserve">10 </w:t>
      </w:r>
      <w:r>
        <w:rPr>
          <w:rFonts w:ascii="Verdana" w:hAnsi="Verdana"/>
          <w:color w:val="000000"/>
          <w:sz w:val="18"/>
          <w:szCs w:val="18"/>
        </w:rPr>
        <w:t>См</w:t>
      </w:r>
      <w:r w:rsidRPr="00963B20">
        <w:rPr>
          <w:rFonts w:ascii="Verdana" w:hAnsi="Verdana"/>
          <w:color w:val="000000"/>
          <w:sz w:val="18"/>
          <w:szCs w:val="18"/>
          <w:lang w:val="en-US"/>
        </w:rPr>
        <w:t xml:space="preserve">.: ASEAN Biodiversity Outlook - Philippines: ASEAN Center for Biodiversity, 2010. - P. 28. </w:t>
      </w:r>
      <w:r>
        <w:rPr>
          <w:rFonts w:ascii="Verdana" w:hAnsi="Verdana"/>
          <w:color w:val="000000"/>
          <w:sz w:val="18"/>
          <w:szCs w:val="18"/>
        </w:rPr>
        <w:t>нием</w:t>
      </w:r>
      <w:r w:rsidRPr="00963B20">
        <w:rPr>
          <w:rFonts w:ascii="Verdana" w:hAnsi="Verdana"/>
          <w:color w:val="000000"/>
          <w:sz w:val="18"/>
          <w:szCs w:val="18"/>
          <w:lang w:val="en-US"/>
        </w:rPr>
        <w:t xml:space="preserve"> </w:t>
      </w:r>
      <w:r>
        <w:rPr>
          <w:rFonts w:ascii="Verdana" w:hAnsi="Verdana"/>
          <w:color w:val="000000"/>
          <w:sz w:val="18"/>
          <w:szCs w:val="18"/>
        </w:rPr>
        <w:t>тяжелыми</w:t>
      </w:r>
      <w:r w:rsidRPr="00963B20">
        <w:rPr>
          <w:rFonts w:ascii="Verdana" w:hAnsi="Verdana"/>
          <w:color w:val="000000"/>
          <w:sz w:val="18"/>
          <w:szCs w:val="18"/>
          <w:lang w:val="en-US"/>
        </w:rPr>
        <w:t xml:space="preserve"> </w:t>
      </w:r>
      <w:r>
        <w:rPr>
          <w:rFonts w:ascii="Verdana" w:hAnsi="Verdana"/>
          <w:color w:val="000000"/>
          <w:sz w:val="18"/>
          <w:szCs w:val="18"/>
        </w:rPr>
        <w:t>металлами</w:t>
      </w:r>
      <w:r w:rsidRPr="00963B20">
        <w:rPr>
          <w:rFonts w:ascii="Verdana" w:hAnsi="Verdana"/>
          <w:color w:val="000000"/>
          <w:sz w:val="18"/>
          <w:szCs w:val="18"/>
          <w:lang w:val="en-US"/>
        </w:rPr>
        <w:t xml:space="preserve">, </w:t>
      </w:r>
      <w:r>
        <w:rPr>
          <w:rFonts w:ascii="Verdana" w:hAnsi="Verdana"/>
          <w:color w:val="000000"/>
          <w:sz w:val="18"/>
          <w:szCs w:val="18"/>
        </w:rPr>
        <w:t>кислотами</w:t>
      </w:r>
      <w:r w:rsidRPr="00963B20">
        <w:rPr>
          <w:rFonts w:ascii="Verdana" w:hAnsi="Verdana"/>
          <w:color w:val="000000"/>
          <w:sz w:val="18"/>
          <w:szCs w:val="18"/>
          <w:lang w:val="en-US"/>
        </w:rPr>
        <w:t xml:space="preserve"> </w:t>
      </w:r>
      <w:r>
        <w:rPr>
          <w:rFonts w:ascii="Verdana" w:hAnsi="Verdana"/>
          <w:color w:val="000000"/>
          <w:sz w:val="18"/>
          <w:szCs w:val="18"/>
        </w:rPr>
        <w:t>и</w:t>
      </w:r>
      <w:r w:rsidRPr="00963B20">
        <w:rPr>
          <w:rFonts w:ascii="Verdana" w:hAnsi="Verdana"/>
          <w:color w:val="000000"/>
          <w:sz w:val="18"/>
          <w:szCs w:val="18"/>
          <w:lang w:val="en-US"/>
        </w:rPr>
        <w:t xml:space="preserve"> </w:t>
      </w:r>
      <w:r>
        <w:rPr>
          <w:rFonts w:ascii="Verdana" w:hAnsi="Verdana"/>
          <w:color w:val="000000"/>
          <w:sz w:val="18"/>
          <w:szCs w:val="18"/>
        </w:rPr>
        <w:t>маслами</w:t>
      </w:r>
      <w:r w:rsidRPr="00963B20">
        <w:rPr>
          <w:rFonts w:ascii="Verdana" w:hAnsi="Verdana"/>
          <w:color w:val="000000"/>
          <w:sz w:val="18"/>
          <w:szCs w:val="18"/>
          <w:lang w:val="en-US"/>
        </w:rPr>
        <w:t xml:space="preserve">11. </w:t>
      </w:r>
      <w:r>
        <w:rPr>
          <w:rFonts w:ascii="Verdana" w:hAnsi="Verdana"/>
          <w:color w:val="000000"/>
          <w:sz w:val="18"/>
          <w:szCs w:val="18"/>
        </w:rPr>
        <w:t>Кроме этого, экономическая модернизация сопровождалась увеличением доли отраслей обрабатывающей промышленности, в результате чего обострилась проблема вредных отходов12, лишь незначительная часть подвергается утилизации.</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Даже беглое ознакомление с цифрами указывает на высокий уровень загрязнения природы региона. В настоящее время Юго-Восточная Азия является одной из основных зон дестабилизации окружающей среды в мире13. От разрешения этих экологических проблем зависит не только национальная, региональная, но и глобальная экологическая безопасность.</w:t>
      </w:r>
    </w:p>
    <w:p w:rsidR="00963B20" w:rsidRPr="00963B20" w:rsidRDefault="00963B20" w:rsidP="00963B20">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Экологические проблемы в регионе имеют трансграничный характер, что предполагает объединение усилий государств по их разрешению на глобальном и региональном уровнях14. Юго-Восточная Азия является одним из первых регионов в мире, приступивших к формированию и реализации региональной экологической политики. Наличие структуры АСЕАН, в рамках которой стало развиваться региональное экологическое сотрудничество, обеспечило региону преимущества по сравнению с другими развивающимися странами в плане формирования институциональной основы их природоохранной деятельности на региональном уровне15. Природоохранное сотрудничество в рамках АСЕАН осуществляется на основе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 xml:space="preserve">норм и источников т.н. мягкого права. Наряду с определенными успехами защита окружающей среды в регионе АСЕАН продемонстрировала некоторые присущие этой организации недостатки. Изучение достижений и недостатков АСЕАН в сфере защиты окружающей среды, безусловно, должно способст См.: United Nations Environment Programme (UNEP). </w:t>
      </w:r>
      <w:r w:rsidRPr="00963B20">
        <w:rPr>
          <w:rFonts w:ascii="Verdana" w:hAnsi="Verdana"/>
          <w:color w:val="000000"/>
          <w:sz w:val="18"/>
          <w:szCs w:val="18"/>
          <w:lang w:val="en-US"/>
        </w:rPr>
        <w:t xml:space="preserve">Asia-Pacific Environment Outlook 2. - UN Publishing, 2001. - P. </w:t>
      </w:r>
      <w:r w:rsidRPr="00963B20">
        <w:rPr>
          <w:rFonts w:ascii="Verdana" w:hAnsi="Verdana"/>
          <w:color w:val="000000"/>
          <w:sz w:val="18"/>
          <w:szCs w:val="18"/>
          <w:lang w:val="en-US"/>
        </w:rPr>
        <w:lastRenderedPageBreak/>
        <w:t>25; United Nations Environment Programme. Environmental Indicators South East Asia. - UNEP Publishing, 2004.-P. 35.</w:t>
      </w:r>
    </w:p>
    <w:p w:rsidR="00963B20" w:rsidRPr="00963B20" w:rsidRDefault="00963B20" w:rsidP="00963B20">
      <w:pPr>
        <w:pStyle w:val="WW8Num2z0"/>
        <w:shd w:val="clear" w:color="auto" w:fill="F7F7F7"/>
        <w:spacing w:before="75" w:line="270" w:lineRule="atLeast"/>
        <w:ind w:firstLine="480"/>
        <w:jc w:val="both"/>
        <w:rPr>
          <w:rFonts w:ascii="Verdana" w:hAnsi="Verdana"/>
          <w:color w:val="000000"/>
          <w:sz w:val="18"/>
          <w:szCs w:val="18"/>
          <w:lang w:val="en-US"/>
        </w:rPr>
      </w:pPr>
      <w:r w:rsidRPr="00963B20">
        <w:rPr>
          <w:rFonts w:ascii="Verdana" w:hAnsi="Verdana"/>
          <w:color w:val="000000"/>
          <w:sz w:val="18"/>
          <w:szCs w:val="18"/>
          <w:lang w:val="en-US"/>
        </w:rPr>
        <w:t xml:space="preserve">12 </w:t>
      </w:r>
      <w:r>
        <w:rPr>
          <w:rFonts w:ascii="Verdana" w:hAnsi="Verdana"/>
          <w:color w:val="000000"/>
          <w:sz w:val="18"/>
          <w:szCs w:val="18"/>
        </w:rPr>
        <w:t>Только</w:t>
      </w:r>
      <w:r w:rsidRPr="00963B20">
        <w:rPr>
          <w:rFonts w:ascii="Verdana" w:hAnsi="Verdana"/>
          <w:color w:val="000000"/>
          <w:sz w:val="18"/>
          <w:szCs w:val="18"/>
          <w:lang w:val="en-US"/>
        </w:rPr>
        <w:t xml:space="preserve"> </w:t>
      </w:r>
      <w:r>
        <w:rPr>
          <w:rFonts w:ascii="Verdana" w:hAnsi="Verdana"/>
          <w:color w:val="000000"/>
          <w:sz w:val="18"/>
          <w:szCs w:val="18"/>
        </w:rPr>
        <w:t>за</w:t>
      </w:r>
      <w:r w:rsidRPr="00963B20">
        <w:rPr>
          <w:rFonts w:ascii="Verdana" w:hAnsi="Verdana"/>
          <w:color w:val="000000"/>
          <w:sz w:val="18"/>
          <w:szCs w:val="18"/>
          <w:lang w:val="en-US"/>
        </w:rPr>
        <w:t xml:space="preserve"> 2000 </w:t>
      </w:r>
      <w:r>
        <w:rPr>
          <w:rFonts w:ascii="Verdana" w:hAnsi="Verdana"/>
          <w:color w:val="000000"/>
          <w:sz w:val="18"/>
          <w:szCs w:val="18"/>
        </w:rPr>
        <w:t>г</w:t>
      </w:r>
      <w:r w:rsidRPr="00963B20">
        <w:rPr>
          <w:rFonts w:ascii="Verdana" w:hAnsi="Verdana"/>
          <w:color w:val="000000"/>
          <w:sz w:val="18"/>
          <w:szCs w:val="18"/>
          <w:lang w:val="en-US"/>
        </w:rPr>
        <w:t xml:space="preserve">. </w:t>
      </w:r>
      <w:r>
        <w:rPr>
          <w:rFonts w:ascii="Verdana" w:hAnsi="Verdana"/>
          <w:color w:val="000000"/>
          <w:sz w:val="18"/>
          <w:szCs w:val="18"/>
        </w:rPr>
        <w:t>в</w:t>
      </w:r>
      <w:r w:rsidRPr="00963B20">
        <w:rPr>
          <w:rFonts w:ascii="Verdana" w:hAnsi="Verdana"/>
          <w:color w:val="000000"/>
          <w:sz w:val="18"/>
          <w:szCs w:val="18"/>
          <w:lang w:val="en-US"/>
        </w:rPr>
        <w:t xml:space="preserve"> </w:t>
      </w:r>
      <w:r>
        <w:rPr>
          <w:rFonts w:ascii="Verdana" w:hAnsi="Verdana"/>
          <w:color w:val="000000"/>
          <w:sz w:val="18"/>
          <w:szCs w:val="18"/>
        </w:rPr>
        <w:t>странах</w:t>
      </w:r>
      <w:r w:rsidRPr="00963B20">
        <w:rPr>
          <w:rFonts w:ascii="Verdana" w:hAnsi="Verdana"/>
          <w:color w:val="000000"/>
          <w:sz w:val="18"/>
          <w:szCs w:val="18"/>
          <w:lang w:val="en-US"/>
        </w:rPr>
        <w:t xml:space="preserve"> </w:t>
      </w:r>
      <w:r>
        <w:rPr>
          <w:rFonts w:ascii="Verdana" w:hAnsi="Verdana"/>
          <w:color w:val="000000"/>
          <w:sz w:val="18"/>
          <w:szCs w:val="18"/>
        </w:rPr>
        <w:t>АСЕАН</w:t>
      </w:r>
      <w:r w:rsidRPr="00963B20">
        <w:rPr>
          <w:rFonts w:ascii="Verdana" w:hAnsi="Verdana"/>
          <w:color w:val="000000"/>
          <w:sz w:val="18"/>
          <w:szCs w:val="18"/>
          <w:lang w:val="en-US"/>
        </w:rPr>
        <w:t xml:space="preserve"> </w:t>
      </w:r>
      <w:r>
        <w:rPr>
          <w:rFonts w:ascii="Verdana" w:hAnsi="Verdana"/>
          <w:color w:val="000000"/>
          <w:sz w:val="18"/>
          <w:szCs w:val="18"/>
        </w:rPr>
        <w:t>количество</w:t>
      </w:r>
      <w:r w:rsidRPr="00963B20">
        <w:rPr>
          <w:rFonts w:ascii="Verdana" w:hAnsi="Verdana"/>
          <w:color w:val="000000"/>
          <w:sz w:val="18"/>
          <w:szCs w:val="18"/>
          <w:lang w:val="en-US"/>
        </w:rPr>
        <w:t xml:space="preserve"> </w:t>
      </w:r>
      <w:r>
        <w:rPr>
          <w:rFonts w:ascii="Verdana" w:hAnsi="Verdana"/>
          <w:color w:val="000000"/>
          <w:sz w:val="18"/>
          <w:szCs w:val="18"/>
        </w:rPr>
        <w:t>вредных</w:t>
      </w:r>
      <w:r w:rsidRPr="00963B20">
        <w:rPr>
          <w:rFonts w:ascii="Verdana" w:hAnsi="Verdana"/>
          <w:color w:val="000000"/>
          <w:sz w:val="18"/>
          <w:szCs w:val="18"/>
          <w:lang w:val="en-US"/>
        </w:rPr>
        <w:t xml:space="preserve"> </w:t>
      </w:r>
      <w:r>
        <w:rPr>
          <w:rFonts w:ascii="Verdana" w:hAnsi="Verdana"/>
          <w:color w:val="000000"/>
          <w:sz w:val="18"/>
          <w:szCs w:val="18"/>
        </w:rPr>
        <w:t>отходов</w:t>
      </w:r>
      <w:r w:rsidRPr="00963B20">
        <w:rPr>
          <w:rFonts w:ascii="Verdana" w:hAnsi="Verdana"/>
          <w:color w:val="000000"/>
          <w:sz w:val="18"/>
          <w:szCs w:val="18"/>
          <w:lang w:val="en-US"/>
        </w:rPr>
        <w:t xml:space="preserve"> </w:t>
      </w:r>
      <w:r>
        <w:rPr>
          <w:rFonts w:ascii="Verdana" w:hAnsi="Verdana"/>
          <w:color w:val="000000"/>
          <w:sz w:val="18"/>
          <w:szCs w:val="18"/>
        </w:rPr>
        <w:t>составило</w:t>
      </w:r>
      <w:r w:rsidRPr="00963B20">
        <w:rPr>
          <w:rFonts w:ascii="Verdana" w:hAnsi="Verdana"/>
          <w:color w:val="000000"/>
          <w:sz w:val="18"/>
          <w:szCs w:val="18"/>
          <w:lang w:val="en-US"/>
        </w:rPr>
        <w:t xml:space="preserve"> </w:t>
      </w:r>
      <w:r>
        <w:rPr>
          <w:rFonts w:ascii="Verdana" w:hAnsi="Verdana"/>
          <w:color w:val="000000"/>
          <w:sz w:val="18"/>
          <w:szCs w:val="18"/>
        </w:rPr>
        <w:t>порядка</w:t>
      </w:r>
      <w:r w:rsidRPr="00963B20">
        <w:rPr>
          <w:rFonts w:ascii="Verdana" w:hAnsi="Verdana"/>
          <w:color w:val="000000"/>
          <w:sz w:val="18"/>
          <w:szCs w:val="18"/>
          <w:lang w:val="en-US"/>
        </w:rPr>
        <w:t xml:space="preserve"> 3 </w:t>
      </w:r>
      <w:r>
        <w:rPr>
          <w:rFonts w:ascii="Verdana" w:hAnsi="Verdana"/>
          <w:color w:val="000000"/>
          <w:sz w:val="18"/>
          <w:szCs w:val="18"/>
        </w:rPr>
        <w:t>млн</w:t>
      </w:r>
      <w:r w:rsidRPr="00963B20">
        <w:rPr>
          <w:rFonts w:ascii="Verdana" w:hAnsi="Verdana"/>
          <w:color w:val="000000"/>
          <w:sz w:val="18"/>
          <w:szCs w:val="18"/>
          <w:lang w:val="en-US"/>
        </w:rPr>
        <w:t xml:space="preserve">. </w:t>
      </w:r>
      <w:r>
        <w:rPr>
          <w:rFonts w:ascii="Verdana" w:hAnsi="Verdana"/>
          <w:color w:val="000000"/>
          <w:sz w:val="18"/>
          <w:szCs w:val="18"/>
        </w:rPr>
        <w:t>т</w:t>
      </w:r>
      <w:r w:rsidRPr="00963B20">
        <w:rPr>
          <w:rFonts w:ascii="Verdana" w:hAnsi="Verdana"/>
          <w:color w:val="000000"/>
          <w:sz w:val="18"/>
          <w:szCs w:val="18"/>
          <w:lang w:val="en-US"/>
        </w:rPr>
        <w:t xml:space="preserve">. - </w:t>
      </w:r>
      <w:r>
        <w:rPr>
          <w:rFonts w:ascii="Verdana" w:hAnsi="Verdana"/>
          <w:color w:val="000000"/>
          <w:sz w:val="18"/>
          <w:szCs w:val="18"/>
        </w:rPr>
        <w:t>См</w:t>
      </w:r>
      <w:r w:rsidRPr="00963B20">
        <w:rPr>
          <w:rFonts w:ascii="Verdana" w:hAnsi="Verdana"/>
          <w:color w:val="000000"/>
          <w:sz w:val="18"/>
          <w:szCs w:val="18"/>
          <w:lang w:val="en-US"/>
        </w:rPr>
        <w:t>.: Hotta Y Internationalization of Waste and Recycling Problems: Toward EPR Mechanism from International Perspective // Workshop on EPR and International Material Flow, 14 February 2007, Manila, Phillipine.</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Cm .: Даншов-Даншьян В И, Лосев КС, Рейф И Е Перед главным вызовом цивилизации. Взгляд из России // Зеленый мир. - 2006. - № 19-20. - С.4; Рогожина НГ Экономика и экология: что мешает их гармоничному развитию? // Азия и Африка сегодня. - 2001. -№ 4. - С. 17.</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sidRPr="00963B20">
        <w:rPr>
          <w:rFonts w:ascii="Verdana" w:hAnsi="Verdana"/>
          <w:color w:val="000000"/>
          <w:sz w:val="18"/>
          <w:szCs w:val="18"/>
          <w:lang w:val="en-US"/>
        </w:rPr>
        <w:t xml:space="preserve">14 </w:t>
      </w:r>
      <w:r>
        <w:rPr>
          <w:rFonts w:ascii="Verdana" w:hAnsi="Verdana"/>
          <w:color w:val="000000"/>
          <w:sz w:val="18"/>
          <w:szCs w:val="18"/>
        </w:rPr>
        <w:t>См</w:t>
      </w:r>
      <w:r w:rsidRPr="00963B20">
        <w:rPr>
          <w:rFonts w:ascii="Verdana" w:hAnsi="Verdana"/>
          <w:color w:val="000000"/>
          <w:sz w:val="18"/>
          <w:szCs w:val="18"/>
          <w:lang w:val="en-US"/>
        </w:rPr>
        <w:t xml:space="preserve">.: ASEAN Ministerial Meeting on Environment (AMME). </w:t>
      </w:r>
      <w:r>
        <w:rPr>
          <w:rFonts w:ascii="Verdana" w:hAnsi="Verdana"/>
          <w:color w:val="000000"/>
          <w:sz w:val="18"/>
          <w:szCs w:val="18"/>
        </w:rPr>
        <w:t>URL: http://www.asean.org/communities/asean-socio-cultural-community/category/asean-ministerial-meeting-on-environment-amme (дата обращения: 08.01.2013).</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См.: Рогожина Н Г Экологическое сотрудничество стран АСЕАН // Юго-Восточная Азия: актуальные проблемы развития. - М.: ИВ</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2009. - Вып. XIII Юго-Восточная Азия 2008-2009 гг. - С. 80. вовать дальнейшему совершенствованию международно-правовой основы природоохранной деятельности Организации. Кроме этого, опыт АСЕАН в этой сфере может оказаться весьма полезным для других развивающихся стран в плане природоохранного сотрудничества на региональном уровне. Более того, в контексте неудачных попыток мирового сообщества сформировать глобальный международно-правовой механизм борьбы с изменением климата (и не только) опыт государств-членов Ассоциации в сфере согласования своих интересов и поиска общей позиции представляется очень полезным.</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изучение деятельности АСЕАН продиктовано внешнеполитическими интересами Российской Федерации. Укрепление сотрудничества с АСЕАН является одним из приоритетов азиатской политики России16. Развитие сотрудничества с АСЕАН является приоритетным направлением азиат</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ской политики России . Будучи динамичным и все более влиятельным игроком глобального класса, АСЕАН является стратегическим партнером России в Азиатско-Тихоокеанском регионе18. В настоящее время Россия активизирует сотрудничество с АСЕАН по многим направлениям19. Но в сфере защиты окружающей среды сотрудничество пока не заметно. Изучение международно-правовых основ природоохранной деятельности АСЕАН позволяет России развивать совместную деятельность с Организацией по поводу разрешения глобальных экологических вызовов.</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См.:</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Co.nmfee A M Институциализация защиты и поощрения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АСЕАН // Московский журнал международного права. - 2010. - № 2 (78). - С. 188-189; Мелькин MC Взаимодействие России и АСЕАН на современном этапе развития // Актуальные проблемы современного международного права: Материалы ежегодной межвузовской научно-практической конференции. Москва, 9-10 апреля 2010 г. / под ред. А.Х. Абашидзе,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Е.В. Киселевой. - М.: РУДН, 2011. -4. 1.-С. 266269; OcuHijeea H С. Политика России в Юго-Восточной Азии в начале XXI века // Теория и практика общественного развития. - 2012. - № 8. - С. 300-302.</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См.:</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A.X., Солнцев A.M. Институциализация защиты и поощрения прав и свобод человека в АСЕАН // Московский журнал международного права. - 2010. - № 2. (78). - С. 188-189;</w:t>
      </w:r>
      <w:r>
        <w:rPr>
          <w:rStyle w:val="WW8Num3z0"/>
          <w:rFonts w:ascii="Verdana" w:hAnsi="Verdana"/>
          <w:color w:val="000000"/>
          <w:sz w:val="18"/>
          <w:szCs w:val="18"/>
        </w:rPr>
        <w:t> </w:t>
      </w:r>
      <w:r>
        <w:rPr>
          <w:rStyle w:val="WW8Num4z0"/>
          <w:rFonts w:ascii="Verdana" w:hAnsi="Verdana"/>
          <w:color w:val="4682B4"/>
          <w:sz w:val="18"/>
          <w:szCs w:val="18"/>
        </w:rPr>
        <w:t>Мелькин</w:t>
      </w:r>
      <w:r>
        <w:rPr>
          <w:rStyle w:val="WW8Num3z0"/>
          <w:rFonts w:ascii="Verdana" w:hAnsi="Verdana"/>
          <w:color w:val="000000"/>
          <w:sz w:val="18"/>
          <w:szCs w:val="18"/>
        </w:rPr>
        <w:t> </w:t>
      </w:r>
      <w:r>
        <w:rPr>
          <w:rFonts w:ascii="Verdana" w:hAnsi="Verdana"/>
          <w:color w:val="000000"/>
          <w:sz w:val="18"/>
          <w:szCs w:val="18"/>
        </w:rPr>
        <w:t>М.С. Взаимодействие России и АСЕАН на современном этапе развития // Актуальные проблемы современного международного права: Материалы ежегодной межвузовской научно-практической конференции. Москва, 9-10 апреля 2010 г. / под ред. А.Х. Абашидзе,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Е.В. Киселевой. - М.: РУДН, 2011. -4. 1.-С. 266- 269;</w:t>
      </w:r>
      <w:r>
        <w:rPr>
          <w:rStyle w:val="WW8Num3z0"/>
          <w:rFonts w:ascii="Verdana" w:hAnsi="Verdana"/>
          <w:color w:val="000000"/>
          <w:sz w:val="18"/>
          <w:szCs w:val="18"/>
        </w:rPr>
        <w:t> </w:t>
      </w:r>
      <w:r>
        <w:rPr>
          <w:rStyle w:val="WW8Num4z0"/>
          <w:rFonts w:ascii="Verdana" w:hAnsi="Verdana"/>
          <w:color w:val="4682B4"/>
          <w:sz w:val="18"/>
          <w:szCs w:val="18"/>
        </w:rPr>
        <w:t>Осинцева</w:t>
      </w:r>
      <w:r>
        <w:rPr>
          <w:rStyle w:val="WW8Num3z0"/>
          <w:rFonts w:ascii="Verdana" w:hAnsi="Verdana"/>
          <w:color w:val="000000"/>
          <w:sz w:val="18"/>
          <w:szCs w:val="18"/>
        </w:rPr>
        <w:t> </w:t>
      </w:r>
      <w:r>
        <w:rPr>
          <w:rFonts w:ascii="Verdana" w:hAnsi="Verdana"/>
          <w:color w:val="000000"/>
          <w:sz w:val="18"/>
          <w:szCs w:val="18"/>
        </w:rPr>
        <w:t>Н.С. Политика России в Юго-Восточной Азии в начале XXI века // Теория и практика общественного развития. - 2012. - № 8. - С. 300-302.</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См.: Воронин А С. Зачем России АСЕАН // Российская Федерация сегодня. - 2010. - № 22. - С. 44.</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См.: Локшин Г M Россия - АСЕАН: новые проекты и форматы сотрудничества // Азия и Африка сегодня. - 2011. - № 2. - С. 2-7;</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C.B.: РФ готовит «</w:t>
      </w:r>
      <w:r>
        <w:rPr>
          <w:rStyle w:val="WW8Num4z0"/>
          <w:rFonts w:ascii="Verdana" w:hAnsi="Verdana"/>
          <w:color w:val="4682B4"/>
          <w:sz w:val="18"/>
          <w:szCs w:val="18"/>
        </w:rPr>
        <w:t>дорожную карту</w:t>
      </w:r>
      <w:r>
        <w:rPr>
          <w:rFonts w:ascii="Verdana" w:hAnsi="Verdana"/>
          <w:color w:val="000000"/>
          <w:sz w:val="18"/>
          <w:szCs w:val="18"/>
        </w:rPr>
        <w:t xml:space="preserve">» по </w:t>
      </w:r>
      <w:r>
        <w:rPr>
          <w:rFonts w:ascii="Verdana" w:hAnsi="Verdana"/>
          <w:color w:val="000000"/>
          <w:sz w:val="18"/>
          <w:szCs w:val="18"/>
        </w:rPr>
        <w:lastRenderedPageBreak/>
        <w:t>сотрудничеству с АСЕАН //</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2012 г., 21 января. URL: http://na.ru/politics/20120129/551558893.html (дата обращения: 28.11. 2012).</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полностью обосновывает актуальность исследования избранной темы как с точки зрения теории, так и практики современного международного права.</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Проблеме формирования и развития АСЕАН посвящены труды видных российских исследователей Института Востоковедения, Института Дальнего Востока и Института мировой экономики и международных отношений РАН, а также Центра АСЕАН при МГИ-МО (У)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и др. Среди них следует выделить работы таких ученых, как A.C.</w:t>
      </w:r>
      <w:r>
        <w:rPr>
          <w:rStyle w:val="WW8Num3z0"/>
          <w:rFonts w:ascii="Verdana" w:hAnsi="Verdana"/>
          <w:color w:val="000000"/>
          <w:sz w:val="18"/>
          <w:szCs w:val="18"/>
        </w:rPr>
        <w:t> </w:t>
      </w:r>
      <w:r>
        <w:rPr>
          <w:rStyle w:val="WW8Num4z0"/>
          <w:rFonts w:ascii="Verdana" w:hAnsi="Verdana"/>
          <w:color w:val="4682B4"/>
          <w:sz w:val="18"/>
          <w:szCs w:val="18"/>
        </w:rPr>
        <w:t>Воронин</w:t>
      </w:r>
      <w:r>
        <w:rPr>
          <w:rFonts w:ascii="Verdana" w:hAnsi="Verdana"/>
          <w:color w:val="000000"/>
          <w:sz w:val="18"/>
          <w:szCs w:val="18"/>
        </w:rPr>
        <w:t>, О.В. Копылов, Г.М. Локшин, В.М.</w:t>
      </w:r>
      <w:r>
        <w:rPr>
          <w:rStyle w:val="WW8Num3z0"/>
          <w:rFonts w:ascii="Verdana" w:hAnsi="Verdana"/>
          <w:color w:val="000000"/>
          <w:sz w:val="18"/>
          <w:szCs w:val="18"/>
        </w:rPr>
        <w:t> </w:t>
      </w:r>
      <w:r>
        <w:rPr>
          <w:rStyle w:val="WW8Num4z0"/>
          <w:rFonts w:ascii="Verdana" w:hAnsi="Verdana"/>
          <w:color w:val="4682B4"/>
          <w:sz w:val="18"/>
          <w:szCs w:val="18"/>
        </w:rPr>
        <w:t>Мазырин</w:t>
      </w:r>
      <w:r>
        <w:rPr>
          <w:rFonts w:ascii="Verdana" w:hAnsi="Verdana"/>
          <w:color w:val="000000"/>
          <w:sz w:val="18"/>
          <w:szCs w:val="18"/>
        </w:rPr>
        <w:t>, Н.П. Малетин, Д.В. Мосяков, И.В. Подберезовский, A.A.</w:t>
      </w:r>
      <w:r>
        <w:rPr>
          <w:rStyle w:val="WW8Num3z0"/>
          <w:rFonts w:ascii="Verdana" w:hAnsi="Verdana"/>
          <w:color w:val="000000"/>
          <w:sz w:val="18"/>
          <w:szCs w:val="18"/>
        </w:rPr>
        <w:t> </w:t>
      </w:r>
      <w:r>
        <w:rPr>
          <w:rStyle w:val="WW8Num4z0"/>
          <w:rFonts w:ascii="Verdana" w:hAnsi="Verdana"/>
          <w:color w:val="4682B4"/>
          <w:sz w:val="18"/>
          <w:szCs w:val="18"/>
        </w:rPr>
        <w:t>Рогожин</w:t>
      </w:r>
      <w:r>
        <w:rPr>
          <w:rFonts w:ascii="Verdana" w:hAnsi="Verdana"/>
          <w:color w:val="000000"/>
          <w:sz w:val="18"/>
          <w:szCs w:val="18"/>
        </w:rPr>
        <w:t>, Н.Г. Рогожина, В.В. Сумский. Так, например, Г.М.</w:t>
      </w:r>
      <w:r>
        <w:rPr>
          <w:rStyle w:val="WW8Num3z0"/>
          <w:rFonts w:ascii="Verdana" w:hAnsi="Verdana"/>
          <w:color w:val="000000"/>
          <w:sz w:val="18"/>
          <w:szCs w:val="18"/>
        </w:rPr>
        <w:t> </w:t>
      </w:r>
      <w:r>
        <w:rPr>
          <w:rStyle w:val="WW8Num4z0"/>
          <w:rFonts w:ascii="Verdana" w:hAnsi="Verdana"/>
          <w:color w:val="4682B4"/>
          <w:sz w:val="18"/>
          <w:szCs w:val="18"/>
        </w:rPr>
        <w:t>Локшин</w:t>
      </w:r>
      <w:r>
        <w:rPr>
          <w:rStyle w:val="WW8Num3z0"/>
          <w:rFonts w:ascii="Verdana" w:hAnsi="Verdana"/>
          <w:color w:val="000000"/>
          <w:sz w:val="18"/>
          <w:szCs w:val="18"/>
        </w:rPr>
        <w:t> </w:t>
      </w:r>
      <w:r>
        <w:rPr>
          <w:rFonts w:ascii="Verdana" w:hAnsi="Verdana"/>
          <w:color w:val="000000"/>
          <w:sz w:val="18"/>
          <w:szCs w:val="18"/>
        </w:rPr>
        <w:t>является автором ряда публикации , оказавших определенное влияние на диссертанта при проведении им своего диссертационного исследования. Г.М. Локшин также внес существенный вклад в написание коллективного труда Института Дальнего Востока РАН «АСЕАН в начале XXI века. Актуальные проблемы и перспективы», изданном в 2010 г. В нем исследованы сложные и часто противоречивые процессы в Юго-Восточной Азии, формирование и развитие АСЕАН, концепция триединого Сообщества АСЕАН, содержание и значение вступившего в силу в конце 2008 г.</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АСЕАН и другие актуальные проблемы.</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Большим подспорьем для диссертанта явились научные труды д.и.н. Н.П. Малетина: учебные пособия «Ассоциация стран Юго-Восточной Азии -АСЕАН» (1980 г.) и «</w:t>
      </w:r>
      <w:r>
        <w:rPr>
          <w:rStyle w:val="WW8Num4z0"/>
          <w:rFonts w:ascii="Verdana" w:hAnsi="Verdana"/>
          <w:color w:val="4682B4"/>
          <w:sz w:val="18"/>
          <w:szCs w:val="18"/>
        </w:rPr>
        <w:t>АСЕАН в системе международных отношений</w:t>
      </w:r>
      <w:r>
        <w:rPr>
          <w:rFonts w:ascii="Verdana" w:hAnsi="Verdana"/>
          <w:color w:val="000000"/>
          <w:sz w:val="18"/>
          <w:szCs w:val="18"/>
        </w:rPr>
        <w:t>» (1982 г.), монография «</w:t>
      </w:r>
      <w:r>
        <w:rPr>
          <w:rStyle w:val="WW8Num4z0"/>
          <w:rFonts w:ascii="Verdana" w:hAnsi="Verdana"/>
          <w:color w:val="4682B4"/>
          <w:sz w:val="18"/>
          <w:szCs w:val="18"/>
        </w:rPr>
        <w:t>АСЕАН: четыре десятилетия развития</w:t>
      </w:r>
      <w:r>
        <w:rPr>
          <w:rFonts w:ascii="Verdana" w:hAnsi="Verdana"/>
          <w:color w:val="000000"/>
          <w:sz w:val="18"/>
          <w:szCs w:val="18"/>
        </w:rPr>
        <w:t>» (2007 г.).</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большим интересом диссертантом были изучены коллективные монографии Института Востоковедения РАН: «</w:t>
      </w:r>
      <w:r>
        <w:rPr>
          <w:rStyle w:val="WW8Num4z0"/>
          <w:rFonts w:ascii="Verdana" w:hAnsi="Verdana"/>
          <w:color w:val="4682B4"/>
          <w:sz w:val="18"/>
          <w:szCs w:val="18"/>
        </w:rPr>
        <w:t>АСЕАН в системе международных политических отношений</w:t>
      </w:r>
      <w:r>
        <w:rPr>
          <w:rFonts w:ascii="Verdana" w:hAnsi="Verdana"/>
          <w:color w:val="000000"/>
          <w:sz w:val="18"/>
          <w:szCs w:val="18"/>
        </w:rPr>
        <w:t>» (1994 г.) и «АСЕАН и ведущие страны</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 Проблемы и перспективы» (2002 г.).</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См.: Локшин Г M АСЕАН на новом этапе интеграции // Проблемы Дальнего Востока. - 2008. - № 3. - С. 73-82; Локшин Г M АСЕАН сегодня: взгляды из России и Вьетнама // Проблема Дальнего Востока. - 2009. -№ 1. - С. 172-176; Локшин Г M Китай - АСЕАН: «</w:t>
      </w:r>
      <w:r>
        <w:rPr>
          <w:rStyle w:val="WW8Num4z0"/>
          <w:rFonts w:ascii="Verdana" w:hAnsi="Verdana"/>
          <w:color w:val="4682B4"/>
          <w:sz w:val="18"/>
          <w:szCs w:val="18"/>
        </w:rPr>
        <w:t>танцы со слоном</w:t>
      </w:r>
      <w:r>
        <w:rPr>
          <w:rFonts w:ascii="Verdana" w:hAnsi="Verdana"/>
          <w:color w:val="000000"/>
          <w:sz w:val="18"/>
          <w:szCs w:val="18"/>
        </w:rPr>
        <w:t>» // Обозреватель. Observer. - 2008. - № 9. - С. 86-97; Локшин Г M Путем АСЕАН // Международная жизнь. - 2010. - № 10. - С. 125-128; Локшин Г M Россия - АСЕАН: новые проекты и форматы сотрудничества // Азия и Африка сегодня. - 2011. - № 2. - С. 27 и др.</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Большую ценность для настоящего исследования представляет работа «Азиатско-Тихоокеанский регион: региональные проблемы, международные организации, экономические группировки», изданная Дипломатической академией МИД России в 2010 г. В этой работе можно выделить следующие интересующие диссертанта разделы: «Ассоциация государств Юго-Восточной Азии (АСЕАН)» - О.В. Копылов (С. 141-167) и «</w:t>
      </w:r>
      <w:r>
        <w:rPr>
          <w:rStyle w:val="WW8Num4z0"/>
          <w:rFonts w:ascii="Verdana" w:hAnsi="Verdana"/>
          <w:color w:val="4682B4"/>
          <w:sz w:val="18"/>
          <w:szCs w:val="18"/>
        </w:rPr>
        <w:t>Региональный форум АСЕАН по безопасности (АРФ)</w:t>
      </w:r>
      <w:r>
        <w:rPr>
          <w:rFonts w:ascii="Verdana" w:hAnsi="Verdana"/>
          <w:color w:val="000000"/>
          <w:sz w:val="18"/>
          <w:szCs w:val="18"/>
        </w:rPr>
        <w:t>» - Ю.А. Райков (С. 168-173). В них авторы уделяют внимание организационной структуре АСЕАН в свете вступившего в силу 2008 г. Устава, отношениям АСЕАН с внешними партнерами и роли АСЕАН в обеспечении безопасности в Азиатско-Тихоокеанском регионе.</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проблемы структуры и деятельности АСЕАН буквально с момента образования Ассоциации оказались в центре внимания российских востоковедов, то международно-правовые аспекты ее деятельности не получили должного освещения в советской/российской доктрине международного права. В 1988 г. выходит учебное пособие А .Я. Капустина «Региональные межправительственные экономические организации освободившихся государств». В нем среди региональных межправительственных экономических организаций отдельно выделяется АСЕАН. Автор пособия уделяет внимание международно-правовым аспектам ее учреждения и развития, ее целям, принципам деятельности и организационной структуре.</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Хотелось бы особо отметить монографию проф. М.Н. Копылова «Право на развитие и экологическая безопасность развивающих стран (международно-правовые вопросы)» (2000 г.). Несмотря на то, что данная монография не ставит перед собой цель специально рассмотреть природоохранную деятельность АСЕАН, содержащиеся в ней концептуальные подходы автора к экологической безопасности развивающихся стран явились ценной теоретической базой для настоящего диссертационного исследования.</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Новый «</w:t>
      </w:r>
      <w:r>
        <w:rPr>
          <w:rStyle w:val="WW8Num4z0"/>
          <w:rFonts w:ascii="Verdana" w:hAnsi="Verdana"/>
          <w:color w:val="4682B4"/>
          <w:sz w:val="18"/>
          <w:szCs w:val="18"/>
        </w:rPr>
        <w:t>всплеск научной деятельности</w:t>
      </w:r>
      <w:r>
        <w:rPr>
          <w:rFonts w:ascii="Verdana" w:hAnsi="Verdana"/>
          <w:color w:val="000000"/>
          <w:sz w:val="18"/>
          <w:szCs w:val="18"/>
        </w:rPr>
        <w:t>» по проблематике АСЕАН приходится на конец первого десятилетия XXI в. в связи с принятием Устава Ассоциации. После его вступления в силу в конце 2008 г. АСЕАН официально становится международной межправительственной организацией с полноценной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Появляется ряд международно</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правовых работ по проблематике АСЕАН . В этот период выходит учебник коллектива кафедры международного права Российского университета дружбы народов под общей редакцией А .Я. Капустина «</w:t>
      </w:r>
      <w:r>
        <w:rPr>
          <w:rStyle w:val="WW8Num4z0"/>
          <w:rFonts w:ascii="Verdana" w:hAnsi="Verdana"/>
          <w:color w:val="4682B4"/>
          <w:sz w:val="18"/>
          <w:szCs w:val="18"/>
        </w:rPr>
        <w:t>Международное право</w:t>
      </w:r>
      <w:r>
        <w:rPr>
          <w:rFonts w:ascii="Verdana" w:hAnsi="Verdana"/>
          <w:color w:val="000000"/>
          <w:sz w:val="18"/>
          <w:szCs w:val="18"/>
        </w:rPr>
        <w:t>» (2008 г.). Хотя в этой работе АСЕАН не выделяется в отдельный раздел или главу, тем не менее, международно-правовые аспекты ее деятельности рассматриваются в главах, посвященных праву международных организаций и конференций, праву международной безопасности и разоружения.</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2012 г. в Российском университете дружбы народов под научным руководством проф. А.Я. Капустина защитил кандидатскую диссертацию М.С. Мелькин на тему: «Международно-правовой статус АСЕАН».</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международно-правовой науке до сих пор мало внимания уделяется защите окружающей среды в АСЕАН. Были попытки анализа международно-правовых аспектов сотрудничества АСЕАН в данной области22. Но все эти работы не дают целостного, комплексного впечатления о деятельности АСЕАН в области охраны окружающей среды. Тем более, что в свете Устава 2008 г., новых программ сотрудничества, инициатив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Организации, они не затрагивают современного состояния данной проблематики.</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См., например: Абашидзе А X, Солнцев А М Институциализация защиты и поощрения прав и свобод человека в АСЕАН // Московский журнал международного права. - 2010. - № 2 (78). - С. 187-191; Солнцев А М, Широкинский А Ю Интеграционные процессы в АСЕАН: вчера, сегодня, завтра // Международное право - International Law. - 2010. - № 2 (42). - С. 28-31; Мелькин М С Особенности международно-правового статуса АСЕАН // Закон и право. - 2011. - № 11. - С. 84-86; Мелькин М С Сообщество безопасности АСЕАН: цели и международно-правовые основы деятельности // Современное право. - 2011. - № 6. - С. 155-158; Мелькин МС Формирование Экономического Сообщества АСЕАН: международно-правовые аспекты // Современное право. - 2011. - № 7. - С. 136-139; Ле В Б Ассоциация государств Юго-Восточной Азии: Становление и развитие // Российский юридический журнал. - 2010. - № 2. - С. 40-44; Jle В Б АСЕАН: создание, процесс интеграции и развития // Вестник научных трудов Нижнекамского филиала Московского гуманитарно-экономического института. - Казань, 2009. - С. 56-63; Копылов МН, Нгуен КТ Международное сотрудничество в борьбе с лесными пожарами - вклад в обеспечение экологической безопасности региона АСЕАН // Использование и охрана лесов: проблема реализации законодательства: сб. статей / отв. ред. Е.Л. Минина. — М.: ИД</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2012. - С. 236-245; Овчинников С Н Международно-правовое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отношений в АСЕАН // Евразийский юридический журнал. - 2012. - № 5 (48). - С. 36-39 и др.</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 2004 г. в</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России Ли С.М. была защищена кандидатская диссертация на тему «Экологическая составляющая концепции устойчивого развития: Международно-правовые аспекты». Во втором параграфе третей главы своей диссертации автор анализирует международно-правовые аспекты сотрудничества АСЕАН в области охраны окружающей среды.</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Пожалуй, единственным «</w:t>
      </w:r>
      <w:r>
        <w:rPr>
          <w:rStyle w:val="WW8Num4z0"/>
          <w:rFonts w:ascii="Verdana" w:hAnsi="Verdana"/>
          <w:color w:val="4682B4"/>
          <w:sz w:val="18"/>
          <w:szCs w:val="18"/>
        </w:rPr>
        <w:t>приятным</w:t>
      </w:r>
      <w:r>
        <w:rPr>
          <w:rFonts w:ascii="Verdana" w:hAnsi="Verdana"/>
          <w:color w:val="000000"/>
          <w:sz w:val="18"/>
          <w:szCs w:val="18"/>
        </w:rPr>
        <w:t>» исключением являются труды Н.Г. Рогожиной: монография «Экологическая стратегия стран Юго-Восточной Азии (социально-политический аспект)» (М.:</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2010) и диссертационное исследование «Современные политические процессы в странах Юго-Восточной Азии: Экологическая составляющая» (М.: ИМЭМО РАН, 2012). Но Н.Г.</w:t>
      </w:r>
      <w:r>
        <w:rPr>
          <w:rStyle w:val="WW8Num3z0"/>
          <w:rFonts w:ascii="Verdana" w:hAnsi="Verdana"/>
          <w:color w:val="000000"/>
          <w:sz w:val="18"/>
          <w:szCs w:val="18"/>
        </w:rPr>
        <w:t> </w:t>
      </w:r>
      <w:r>
        <w:rPr>
          <w:rStyle w:val="WW8Num4z0"/>
          <w:rFonts w:ascii="Verdana" w:hAnsi="Verdana"/>
          <w:color w:val="4682B4"/>
          <w:sz w:val="18"/>
          <w:szCs w:val="18"/>
        </w:rPr>
        <w:t>Рогожина</w:t>
      </w:r>
      <w:r>
        <w:rPr>
          <w:rStyle w:val="WW8Num3z0"/>
          <w:rFonts w:ascii="Verdana" w:hAnsi="Verdana"/>
          <w:color w:val="000000"/>
          <w:sz w:val="18"/>
          <w:szCs w:val="18"/>
        </w:rPr>
        <w:t> </w:t>
      </w:r>
      <w:r>
        <w:rPr>
          <w:rFonts w:ascii="Verdana" w:hAnsi="Verdana"/>
          <w:color w:val="000000"/>
          <w:sz w:val="18"/>
          <w:szCs w:val="18"/>
        </w:rPr>
        <w:t>является доктором политических наук, а юристы-международники по-прежнему игнорируют экологические проблемы АСЕАН. В частности, Н.Г. Рогожина выделяет в своей книге 2010 г. следующие интересующие нас разделы: «Экологические проблемы стран Юго-Восточной Азии» (С. 7-24), «Международные аспекты экологической политики стран Юго-Восточной Азии» (С. 98-124).</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научной литературе отдельным проблемам формирования и развития АСЕАН были посвящены работы В.К. Поллард «АСА и АСЕАН, 1961-1967: регионализм в Юго-Восточной Азии» (1970), А. Броиновски «АСЕАН в 1990-ых годах» (1990 г.), коллективное исследование «Институ-циализация Азиатско-Тихоокеанского региона: АСЕАН,</w:t>
      </w:r>
      <w:r>
        <w:rPr>
          <w:rStyle w:val="WW8Num3z0"/>
          <w:rFonts w:ascii="Verdana" w:hAnsi="Verdana"/>
          <w:color w:val="000000"/>
          <w:sz w:val="18"/>
          <w:szCs w:val="18"/>
        </w:rPr>
        <w:t> </w:t>
      </w:r>
      <w:r>
        <w:rPr>
          <w:rStyle w:val="WW8Num4z0"/>
          <w:rFonts w:ascii="Verdana" w:hAnsi="Verdana"/>
          <w:color w:val="4682B4"/>
          <w:sz w:val="18"/>
          <w:szCs w:val="18"/>
        </w:rPr>
        <w:t>АТЭС</w:t>
      </w:r>
      <w:r>
        <w:rPr>
          <w:rStyle w:val="WW8Num3z0"/>
          <w:rFonts w:ascii="Verdana" w:hAnsi="Verdana"/>
          <w:color w:val="000000"/>
          <w:sz w:val="18"/>
          <w:szCs w:val="18"/>
        </w:rPr>
        <w:t> </w:t>
      </w:r>
      <w:r>
        <w:rPr>
          <w:rFonts w:ascii="Verdana" w:hAnsi="Verdana"/>
          <w:color w:val="000000"/>
          <w:sz w:val="18"/>
          <w:szCs w:val="18"/>
        </w:rPr>
        <w:t xml:space="preserve">и другие» (2008 г.) и др. . </w:t>
      </w:r>
      <w:r>
        <w:rPr>
          <w:rFonts w:ascii="Verdana" w:hAnsi="Verdana"/>
          <w:color w:val="000000"/>
          <w:sz w:val="18"/>
          <w:szCs w:val="18"/>
        </w:rPr>
        <w:lastRenderedPageBreak/>
        <w:t>Следует особо отметить вклад ученых и исследователей стран АСЕАН в изучение проблематики АСЕАН. Среди них: книга сингапурского Института изучения Юго-Восточной Азии «</w:t>
      </w:r>
      <w:r>
        <w:rPr>
          <w:rStyle w:val="WW8Num4z0"/>
          <w:rFonts w:ascii="Verdana" w:hAnsi="Verdana"/>
          <w:color w:val="4682B4"/>
          <w:sz w:val="18"/>
          <w:szCs w:val="18"/>
        </w:rPr>
        <w:t>Читатель АСЕАН</w:t>
      </w:r>
      <w:r>
        <w:rPr>
          <w:rFonts w:ascii="Verdana" w:hAnsi="Verdana"/>
          <w:color w:val="000000"/>
          <w:sz w:val="18"/>
          <w:szCs w:val="18"/>
        </w:rPr>
        <w:t>» (1992 г.), работа коллектива Департамента АСЕАН МИД Вьетнама «5 лет Вьетнама в АСЕАН: достижения и вызовы» (2001 г.), работа Вьетнамских авторов «</w:t>
      </w:r>
      <w:r>
        <w:rPr>
          <w:rStyle w:val="WW8Num4z0"/>
          <w:rFonts w:ascii="Verdana" w:hAnsi="Verdana"/>
          <w:color w:val="4682B4"/>
          <w:sz w:val="18"/>
          <w:szCs w:val="18"/>
        </w:rPr>
        <w:t>Интеграция АСЕАН в условиях глобализации</w:t>
      </w:r>
      <w:r>
        <w:rPr>
          <w:rFonts w:ascii="Verdana" w:hAnsi="Verdana"/>
          <w:color w:val="000000"/>
          <w:sz w:val="18"/>
          <w:szCs w:val="18"/>
        </w:rPr>
        <w:t>» (2002 г.), коллективное исследование вьетнамского Института изучения Юго-Восточной Азии «Интеграция АСЕАН в первом десятилетии XXI века» (2006 г.), работа Нгу-енг Суан Тханг «</w:t>
      </w:r>
      <w:r>
        <w:rPr>
          <w:rStyle w:val="WW8Num4z0"/>
          <w:rFonts w:ascii="Verdana" w:hAnsi="Verdana"/>
          <w:color w:val="4682B4"/>
          <w:sz w:val="18"/>
          <w:szCs w:val="18"/>
        </w:rPr>
        <w:t>Разрыв в развитии и экологическая безопасность в АСЕАН</w:t>
      </w:r>
      <w:r>
        <w:rPr>
          <w:rFonts w:ascii="Verdana" w:hAnsi="Verdana"/>
          <w:color w:val="000000"/>
          <w:sz w:val="18"/>
          <w:szCs w:val="18"/>
        </w:rPr>
        <w:t>» (2006 г.), сборник докладов на Конференции, посвященной 40-летней годов</w:t>
      </w:r>
    </w:p>
    <w:p w:rsidR="00963B20" w:rsidRPr="00963B20" w:rsidRDefault="00963B20" w:rsidP="00963B20">
      <w:pPr>
        <w:pStyle w:val="WW8Num2z0"/>
        <w:shd w:val="clear" w:color="auto" w:fill="F7F7F7"/>
        <w:spacing w:before="75" w:line="270" w:lineRule="atLeast"/>
        <w:ind w:firstLine="480"/>
        <w:jc w:val="both"/>
        <w:rPr>
          <w:rFonts w:ascii="Verdana" w:hAnsi="Verdana"/>
          <w:color w:val="000000"/>
          <w:sz w:val="18"/>
          <w:szCs w:val="18"/>
          <w:lang w:val="en-US"/>
        </w:rPr>
      </w:pPr>
      <w:r w:rsidRPr="00963B20">
        <w:rPr>
          <w:rFonts w:ascii="Verdana" w:hAnsi="Verdana"/>
          <w:color w:val="000000"/>
          <w:sz w:val="18"/>
          <w:szCs w:val="18"/>
          <w:lang w:val="en-US"/>
        </w:rPr>
        <w:t xml:space="preserve">23 </w:t>
      </w:r>
      <w:r>
        <w:rPr>
          <w:rFonts w:ascii="Verdana" w:hAnsi="Verdana"/>
          <w:color w:val="000000"/>
          <w:sz w:val="18"/>
          <w:szCs w:val="18"/>
        </w:rPr>
        <w:t>См</w:t>
      </w:r>
      <w:r w:rsidRPr="00963B20">
        <w:rPr>
          <w:rFonts w:ascii="Verdana" w:hAnsi="Verdana"/>
          <w:color w:val="000000"/>
          <w:sz w:val="18"/>
          <w:szCs w:val="18"/>
          <w:lang w:val="en-US"/>
        </w:rPr>
        <w:t xml:space="preserve"> Areethamsirikul S The impact of ASEAN enlargement on economic integration successes and impediments under ASEAN political institution Dissertation for the degree of Ph D University of Wisconsin (Madison), 2008, Narine S ASEAN in the aftermath the consequences of the East Asian economic crisis // Global governance -2002 - № 8 -P 179-194, Takashi T, Waseda D ASEAN+3 becoming more like a normal regionalism - Global Institute for Asian Regional Integration, 2011, Terada T ASEAN Plus Three becoming more like a normal regionalism7 // Routledge Handbook of Asian Regionalsim / M Beeson, R Stubbs (eds) - Routledge Handbook of Asian Regionalsim, 2011 -P 364-374 </w:t>
      </w:r>
      <w:r>
        <w:rPr>
          <w:rFonts w:ascii="Verdana" w:hAnsi="Verdana"/>
          <w:color w:val="000000"/>
          <w:sz w:val="18"/>
          <w:szCs w:val="18"/>
        </w:rPr>
        <w:t>щине</w:t>
      </w:r>
      <w:r w:rsidRPr="00963B20">
        <w:rPr>
          <w:rFonts w:ascii="Verdana" w:hAnsi="Verdana"/>
          <w:color w:val="000000"/>
          <w:sz w:val="18"/>
          <w:szCs w:val="18"/>
          <w:lang w:val="en-US"/>
        </w:rPr>
        <w:t xml:space="preserve"> </w:t>
      </w:r>
      <w:r>
        <w:rPr>
          <w:rFonts w:ascii="Verdana" w:hAnsi="Verdana"/>
          <w:color w:val="000000"/>
          <w:sz w:val="18"/>
          <w:szCs w:val="18"/>
        </w:rPr>
        <w:t>АСЕАН</w:t>
      </w:r>
      <w:r w:rsidRPr="00963B20">
        <w:rPr>
          <w:rFonts w:ascii="Verdana" w:hAnsi="Verdana"/>
          <w:color w:val="000000"/>
          <w:sz w:val="18"/>
          <w:szCs w:val="18"/>
          <w:lang w:val="en-US"/>
        </w:rPr>
        <w:t xml:space="preserve">, </w:t>
      </w:r>
      <w:r>
        <w:rPr>
          <w:rFonts w:ascii="Verdana" w:hAnsi="Verdana"/>
          <w:color w:val="000000"/>
          <w:sz w:val="18"/>
          <w:szCs w:val="18"/>
        </w:rPr>
        <w:t>организованной</w:t>
      </w:r>
      <w:r w:rsidRPr="00963B20">
        <w:rPr>
          <w:rFonts w:ascii="Verdana" w:hAnsi="Verdana"/>
          <w:color w:val="000000"/>
          <w:sz w:val="18"/>
          <w:szCs w:val="18"/>
          <w:lang w:val="en-US"/>
        </w:rPr>
        <w:t xml:space="preserve"> </w:t>
      </w:r>
      <w:r>
        <w:rPr>
          <w:rFonts w:ascii="Verdana" w:hAnsi="Verdana"/>
          <w:color w:val="000000"/>
          <w:sz w:val="18"/>
          <w:szCs w:val="18"/>
        </w:rPr>
        <w:t>Ханойским</w:t>
      </w:r>
      <w:r w:rsidRPr="00963B20">
        <w:rPr>
          <w:rFonts w:ascii="Verdana" w:hAnsi="Verdana"/>
          <w:color w:val="000000"/>
          <w:sz w:val="18"/>
          <w:szCs w:val="18"/>
          <w:lang w:val="en-US"/>
        </w:rPr>
        <w:t xml:space="preserve"> </w:t>
      </w:r>
      <w:r>
        <w:rPr>
          <w:rFonts w:ascii="Verdana" w:hAnsi="Verdana"/>
          <w:color w:val="000000"/>
          <w:sz w:val="18"/>
          <w:szCs w:val="18"/>
        </w:rPr>
        <w:t>государственным</w:t>
      </w:r>
      <w:r w:rsidRPr="00963B20">
        <w:rPr>
          <w:rFonts w:ascii="Verdana" w:hAnsi="Verdana"/>
          <w:color w:val="000000"/>
          <w:sz w:val="18"/>
          <w:szCs w:val="18"/>
          <w:lang w:val="en-US"/>
        </w:rPr>
        <w:t xml:space="preserve"> </w:t>
      </w:r>
      <w:r>
        <w:rPr>
          <w:rFonts w:ascii="Verdana" w:hAnsi="Verdana"/>
          <w:color w:val="000000"/>
          <w:sz w:val="18"/>
          <w:szCs w:val="18"/>
        </w:rPr>
        <w:t>университетом</w:t>
      </w:r>
      <w:r w:rsidRPr="00963B20">
        <w:rPr>
          <w:rFonts w:ascii="Verdana" w:hAnsi="Verdana"/>
          <w:color w:val="000000"/>
          <w:sz w:val="18"/>
          <w:szCs w:val="18"/>
          <w:lang w:val="en-US"/>
        </w:rPr>
        <w:t xml:space="preserve"> </w:t>
      </w:r>
      <w:r>
        <w:rPr>
          <w:rFonts w:ascii="Verdana" w:hAnsi="Verdana"/>
          <w:color w:val="000000"/>
          <w:sz w:val="18"/>
          <w:szCs w:val="18"/>
        </w:rPr>
        <w:t>в</w:t>
      </w:r>
      <w:r w:rsidRPr="00963B20">
        <w:rPr>
          <w:rFonts w:ascii="Verdana" w:hAnsi="Verdana"/>
          <w:color w:val="000000"/>
          <w:sz w:val="18"/>
          <w:szCs w:val="18"/>
          <w:lang w:val="en-US"/>
        </w:rPr>
        <w:t xml:space="preserve"> 2007 </w:t>
      </w:r>
      <w:r>
        <w:rPr>
          <w:rFonts w:ascii="Verdana" w:hAnsi="Verdana"/>
          <w:color w:val="000000"/>
          <w:sz w:val="18"/>
          <w:szCs w:val="18"/>
        </w:rPr>
        <w:t>г</w:t>
      </w:r>
      <w:r w:rsidRPr="00963B20">
        <w:rPr>
          <w:rFonts w:ascii="Verdana" w:hAnsi="Verdana"/>
          <w:color w:val="000000"/>
          <w:sz w:val="18"/>
          <w:szCs w:val="18"/>
          <w:lang w:val="en-US"/>
        </w:rPr>
        <w:t xml:space="preserve">., </w:t>
      </w:r>
      <w:r>
        <w:rPr>
          <w:rFonts w:ascii="Verdana" w:hAnsi="Verdana"/>
          <w:color w:val="000000"/>
          <w:sz w:val="18"/>
          <w:szCs w:val="18"/>
        </w:rPr>
        <w:t>книга</w:t>
      </w:r>
      <w:r w:rsidRPr="00963B20">
        <w:rPr>
          <w:rFonts w:ascii="Verdana" w:hAnsi="Verdana"/>
          <w:color w:val="000000"/>
          <w:sz w:val="18"/>
          <w:szCs w:val="18"/>
          <w:lang w:val="en-US"/>
        </w:rPr>
        <w:t xml:space="preserve"> </w:t>
      </w:r>
      <w:r>
        <w:rPr>
          <w:rFonts w:ascii="Verdana" w:hAnsi="Verdana"/>
          <w:color w:val="000000"/>
          <w:sz w:val="18"/>
          <w:szCs w:val="18"/>
        </w:rPr>
        <w:t>вьетнамского</w:t>
      </w:r>
      <w:r w:rsidRPr="00963B20">
        <w:rPr>
          <w:rFonts w:ascii="Verdana" w:hAnsi="Verdana"/>
          <w:color w:val="000000"/>
          <w:sz w:val="18"/>
          <w:szCs w:val="18"/>
          <w:lang w:val="en-US"/>
        </w:rPr>
        <w:t xml:space="preserve"> </w:t>
      </w:r>
      <w:r>
        <w:rPr>
          <w:rFonts w:ascii="Verdana" w:hAnsi="Verdana"/>
          <w:color w:val="000000"/>
          <w:sz w:val="18"/>
          <w:szCs w:val="18"/>
        </w:rPr>
        <w:t>исследователя</w:t>
      </w:r>
      <w:r w:rsidRPr="00963B20">
        <w:rPr>
          <w:rFonts w:ascii="Verdana" w:hAnsi="Verdana"/>
          <w:color w:val="000000"/>
          <w:sz w:val="18"/>
          <w:szCs w:val="18"/>
          <w:lang w:val="en-US"/>
        </w:rPr>
        <w:t xml:space="preserve"> </w:t>
      </w:r>
      <w:r>
        <w:rPr>
          <w:rFonts w:ascii="Verdana" w:hAnsi="Verdana"/>
          <w:color w:val="000000"/>
          <w:sz w:val="18"/>
          <w:szCs w:val="18"/>
        </w:rPr>
        <w:t>Нгуен</w:t>
      </w:r>
      <w:r w:rsidRPr="00963B20">
        <w:rPr>
          <w:rFonts w:ascii="Verdana" w:hAnsi="Verdana"/>
          <w:color w:val="000000"/>
          <w:sz w:val="18"/>
          <w:szCs w:val="18"/>
          <w:lang w:val="en-US"/>
        </w:rPr>
        <w:t xml:space="preserve"> </w:t>
      </w:r>
      <w:r>
        <w:rPr>
          <w:rFonts w:ascii="Verdana" w:hAnsi="Verdana"/>
          <w:color w:val="000000"/>
          <w:sz w:val="18"/>
          <w:szCs w:val="18"/>
        </w:rPr>
        <w:t>Куаг</w:t>
      </w:r>
      <w:r w:rsidRPr="00963B20">
        <w:rPr>
          <w:rFonts w:ascii="Verdana" w:hAnsi="Verdana"/>
          <w:color w:val="000000"/>
          <w:sz w:val="18"/>
          <w:szCs w:val="18"/>
          <w:lang w:val="en-US"/>
        </w:rPr>
        <w:t xml:space="preserve"> </w:t>
      </w:r>
      <w:r>
        <w:rPr>
          <w:rFonts w:ascii="Verdana" w:hAnsi="Verdana"/>
          <w:color w:val="000000"/>
          <w:sz w:val="18"/>
          <w:szCs w:val="18"/>
        </w:rPr>
        <w:t>Тхуан</w:t>
      </w:r>
      <w:r w:rsidRPr="00963B20">
        <w:rPr>
          <w:rFonts w:ascii="Verdana" w:hAnsi="Verdana"/>
          <w:color w:val="000000"/>
          <w:sz w:val="18"/>
          <w:szCs w:val="18"/>
          <w:lang w:val="en-US"/>
        </w:rPr>
        <w:t xml:space="preserve"> «</w:t>
      </w:r>
      <w:r>
        <w:rPr>
          <w:rFonts w:ascii="Verdana" w:hAnsi="Verdana"/>
          <w:color w:val="000000"/>
          <w:sz w:val="18"/>
          <w:szCs w:val="18"/>
        </w:rPr>
        <w:t>Меры</w:t>
      </w:r>
      <w:r w:rsidRPr="00963B20">
        <w:rPr>
          <w:rFonts w:ascii="Verdana" w:hAnsi="Verdana"/>
          <w:color w:val="000000"/>
          <w:sz w:val="18"/>
          <w:szCs w:val="18"/>
          <w:lang w:val="en-US"/>
        </w:rPr>
        <w:t xml:space="preserve"> </w:t>
      </w:r>
      <w:r>
        <w:rPr>
          <w:rFonts w:ascii="Verdana" w:hAnsi="Verdana"/>
          <w:color w:val="000000"/>
          <w:sz w:val="18"/>
          <w:szCs w:val="18"/>
        </w:rPr>
        <w:t>улучшения</w:t>
      </w:r>
      <w:r w:rsidRPr="00963B20">
        <w:rPr>
          <w:rFonts w:ascii="Verdana" w:hAnsi="Verdana"/>
          <w:color w:val="000000"/>
          <w:sz w:val="18"/>
          <w:szCs w:val="18"/>
          <w:lang w:val="en-US"/>
        </w:rPr>
        <w:t xml:space="preserve"> </w:t>
      </w:r>
      <w:r>
        <w:rPr>
          <w:rFonts w:ascii="Verdana" w:hAnsi="Verdana"/>
          <w:color w:val="000000"/>
          <w:sz w:val="18"/>
          <w:szCs w:val="18"/>
        </w:rPr>
        <w:t>отношений</w:t>
      </w:r>
      <w:r w:rsidRPr="00963B20">
        <w:rPr>
          <w:rFonts w:ascii="Verdana" w:hAnsi="Verdana"/>
          <w:color w:val="000000"/>
          <w:sz w:val="18"/>
          <w:szCs w:val="18"/>
          <w:lang w:val="en-US"/>
        </w:rPr>
        <w:t xml:space="preserve"> </w:t>
      </w:r>
      <w:r>
        <w:rPr>
          <w:rFonts w:ascii="Verdana" w:hAnsi="Verdana"/>
          <w:color w:val="000000"/>
          <w:sz w:val="18"/>
          <w:szCs w:val="18"/>
        </w:rPr>
        <w:t>АСЕАН</w:t>
      </w:r>
      <w:r w:rsidRPr="00963B20">
        <w:rPr>
          <w:rFonts w:ascii="Verdana" w:hAnsi="Verdana"/>
          <w:color w:val="000000"/>
          <w:sz w:val="18"/>
          <w:szCs w:val="18"/>
          <w:lang w:val="en-US"/>
        </w:rPr>
        <w:t xml:space="preserve"> - </w:t>
      </w:r>
      <w:r>
        <w:rPr>
          <w:rFonts w:ascii="Verdana" w:hAnsi="Verdana"/>
          <w:color w:val="000000"/>
          <w:sz w:val="18"/>
          <w:szCs w:val="18"/>
        </w:rPr>
        <w:t>России</w:t>
      </w:r>
      <w:r w:rsidRPr="00963B20">
        <w:rPr>
          <w:rFonts w:ascii="Verdana" w:hAnsi="Verdana"/>
          <w:color w:val="000000"/>
          <w:sz w:val="18"/>
          <w:szCs w:val="18"/>
          <w:lang w:val="en-US"/>
        </w:rPr>
        <w:t xml:space="preserve"> </w:t>
      </w:r>
      <w:r>
        <w:rPr>
          <w:rFonts w:ascii="Verdana" w:hAnsi="Verdana"/>
          <w:color w:val="000000"/>
          <w:sz w:val="18"/>
          <w:szCs w:val="18"/>
        </w:rPr>
        <w:t>в</w:t>
      </w:r>
      <w:r w:rsidRPr="00963B20">
        <w:rPr>
          <w:rFonts w:ascii="Verdana" w:hAnsi="Verdana"/>
          <w:color w:val="000000"/>
          <w:sz w:val="18"/>
          <w:szCs w:val="18"/>
          <w:lang w:val="en-US"/>
        </w:rPr>
        <w:t xml:space="preserve"> </w:t>
      </w:r>
      <w:r>
        <w:rPr>
          <w:rFonts w:ascii="Verdana" w:hAnsi="Verdana"/>
          <w:color w:val="000000"/>
          <w:sz w:val="18"/>
          <w:szCs w:val="18"/>
        </w:rPr>
        <w:t>новой</w:t>
      </w:r>
      <w:r w:rsidRPr="00963B20">
        <w:rPr>
          <w:rFonts w:ascii="Verdana" w:hAnsi="Verdana"/>
          <w:color w:val="000000"/>
          <w:sz w:val="18"/>
          <w:szCs w:val="18"/>
          <w:lang w:val="en-US"/>
        </w:rPr>
        <w:t xml:space="preserve"> </w:t>
      </w:r>
      <w:r>
        <w:rPr>
          <w:rFonts w:ascii="Verdana" w:hAnsi="Verdana"/>
          <w:color w:val="000000"/>
          <w:sz w:val="18"/>
          <w:szCs w:val="18"/>
        </w:rPr>
        <w:t>мировой</w:t>
      </w:r>
      <w:r w:rsidRPr="00963B20">
        <w:rPr>
          <w:rFonts w:ascii="Verdana" w:hAnsi="Verdana"/>
          <w:color w:val="000000"/>
          <w:sz w:val="18"/>
          <w:szCs w:val="18"/>
          <w:lang w:val="en-US"/>
        </w:rPr>
        <w:t xml:space="preserve"> </w:t>
      </w:r>
      <w:r>
        <w:rPr>
          <w:rFonts w:ascii="Verdana" w:hAnsi="Verdana"/>
          <w:color w:val="000000"/>
          <w:sz w:val="18"/>
          <w:szCs w:val="18"/>
        </w:rPr>
        <w:t>обстановке</w:t>
      </w:r>
      <w:r w:rsidRPr="00963B20">
        <w:rPr>
          <w:rFonts w:ascii="Verdana" w:hAnsi="Verdana"/>
          <w:color w:val="000000"/>
          <w:sz w:val="18"/>
          <w:szCs w:val="18"/>
          <w:lang w:val="en-US"/>
        </w:rPr>
        <w:t xml:space="preserve">» (2010 </w:t>
      </w:r>
      <w:r>
        <w:rPr>
          <w:rFonts w:ascii="Verdana" w:hAnsi="Verdana"/>
          <w:color w:val="000000"/>
          <w:sz w:val="18"/>
          <w:szCs w:val="18"/>
        </w:rPr>
        <w:t>г</w:t>
      </w:r>
      <w:r w:rsidRPr="00963B20">
        <w:rPr>
          <w:rFonts w:ascii="Verdana" w:hAnsi="Verdana"/>
          <w:color w:val="000000"/>
          <w:sz w:val="18"/>
          <w:szCs w:val="18"/>
          <w:lang w:val="en-US"/>
        </w:rPr>
        <w:t xml:space="preserve">.) </w:t>
      </w:r>
      <w:r>
        <w:rPr>
          <w:rFonts w:ascii="Verdana" w:hAnsi="Verdana"/>
          <w:color w:val="000000"/>
          <w:sz w:val="18"/>
          <w:szCs w:val="18"/>
        </w:rPr>
        <w:t>и</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существует ряд трудов исследователей региона, посвященных международно-правовым аспектам деятельности АСЕАН. К ним относятся: коллективные исследования «</w:t>
      </w:r>
      <w:r>
        <w:rPr>
          <w:rStyle w:val="WW8Num4z0"/>
          <w:rFonts w:ascii="Verdana" w:hAnsi="Verdana"/>
          <w:color w:val="4682B4"/>
          <w:sz w:val="18"/>
          <w:szCs w:val="18"/>
        </w:rPr>
        <w:t>Формулирование Устава АСЕАН</w:t>
      </w:r>
      <w:r>
        <w:rPr>
          <w:rFonts w:ascii="Verdana" w:hAnsi="Verdana"/>
          <w:color w:val="000000"/>
          <w:sz w:val="18"/>
          <w:szCs w:val="18"/>
        </w:rPr>
        <w:t>» (2005 г.), «Путь к</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и реализации Устава АСЕАН» (2009 г.), «</w:t>
      </w:r>
      <w:r>
        <w:rPr>
          <w:rStyle w:val="WW8Num4z0"/>
          <w:rFonts w:ascii="Verdana" w:hAnsi="Verdana"/>
          <w:color w:val="4682B4"/>
          <w:sz w:val="18"/>
          <w:szCs w:val="18"/>
        </w:rPr>
        <w:t>Процесс разработки Устава АСЕАН</w:t>
      </w:r>
      <w:r>
        <w:rPr>
          <w:rFonts w:ascii="Verdana" w:hAnsi="Verdana"/>
          <w:color w:val="000000"/>
          <w:sz w:val="18"/>
          <w:szCs w:val="18"/>
        </w:rPr>
        <w:t>» (2009 г.), «</w:t>
      </w:r>
      <w:r>
        <w:rPr>
          <w:rStyle w:val="WW8Num4z0"/>
          <w:rFonts w:ascii="Verdana" w:hAnsi="Verdana"/>
          <w:color w:val="4682B4"/>
          <w:sz w:val="18"/>
          <w:szCs w:val="18"/>
        </w:rPr>
        <w:t>Устав</w:t>
      </w:r>
      <w:r>
        <w:rPr>
          <w:rFonts w:ascii="Verdana" w:hAnsi="Verdana"/>
          <w:color w:val="000000"/>
          <w:sz w:val="18"/>
          <w:szCs w:val="18"/>
        </w:rPr>
        <w:t>АСЕАН и реализующие его документы» (2010 г.) и др.</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международно-правовая защита окружающей среды в АСЕАН не получила достаточно полного освящения со стороны исследователей стран Юго-Восточной Азии и за их пределами. Единственным исключением</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Л/Г является сингапурский ученый Хенг Лиан Кох . Среди ее трудов особо выделяются два сборника «</w:t>
      </w:r>
      <w:r>
        <w:rPr>
          <w:rStyle w:val="WW8Num4z0"/>
          <w:rFonts w:ascii="Verdana" w:hAnsi="Verdana"/>
          <w:color w:val="4682B4"/>
          <w:sz w:val="18"/>
          <w:szCs w:val="18"/>
        </w:rPr>
        <w:t>Экологическое право, политика и управление в АСЕАН: основные документы</w:t>
      </w:r>
      <w:r>
        <w:rPr>
          <w:rFonts w:ascii="Verdana" w:hAnsi="Verdana"/>
          <w:color w:val="000000"/>
          <w:sz w:val="18"/>
          <w:szCs w:val="18"/>
        </w:rPr>
        <w:t>» - выпуска 2009 г. и 2013 г.</w:t>
      </w:r>
    </w:p>
    <w:p w:rsidR="00963B20" w:rsidRPr="00963B20" w:rsidRDefault="00963B20" w:rsidP="00963B20">
      <w:pPr>
        <w:pStyle w:val="WW8Num2z0"/>
        <w:shd w:val="clear" w:color="auto" w:fill="F7F7F7"/>
        <w:spacing w:before="75" w:line="270" w:lineRule="atLeast"/>
        <w:ind w:firstLine="480"/>
        <w:jc w:val="both"/>
        <w:rPr>
          <w:rFonts w:ascii="Verdana" w:hAnsi="Verdana"/>
          <w:color w:val="000000"/>
          <w:sz w:val="18"/>
          <w:szCs w:val="18"/>
          <w:lang w:val="en-US"/>
        </w:rPr>
      </w:pPr>
      <w:r w:rsidRPr="00963B20">
        <w:rPr>
          <w:rFonts w:ascii="Verdana" w:hAnsi="Verdana"/>
          <w:color w:val="000000"/>
          <w:sz w:val="18"/>
          <w:szCs w:val="18"/>
          <w:lang w:val="en-US"/>
        </w:rPr>
        <w:t xml:space="preserve">24 </w:t>
      </w:r>
      <w:r>
        <w:rPr>
          <w:rFonts w:ascii="Verdana" w:hAnsi="Verdana"/>
          <w:color w:val="000000"/>
          <w:sz w:val="18"/>
          <w:szCs w:val="18"/>
        </w:rPr>
        <w:t>См</w:t>
      </w:r>
      <w:r w:rsidRPr="00963B20">
        <w:rPr>
          <w:rFonts w:ascii="Verdana" w:hAnsi="Verdana"/>
          <w:color w:val="000000"/>
          <w:sz w:val="18"/>
          <w:szCs w:val="18"/>
          <w:lang w:val="en-US"/>
        </w:rPr>
        <w:t xml:space="preserve"> Acharya A Culture, Security, Multilateralism The «ASEAN Way» and Regional Order // Contemporary Security Policy Special Issue Culture and Security Multilateralism, Arms Control and Security Building - 1998 -Vol 19 - Issue 1 - P 55-84, Le L Thach thuc döi vai «Ngirm cam lai » ASEAN trong cäu true an ninh khu vuc Chäu A-Thai Binh Duong Trong Tap chuyen de I Nghien cuu quöc te - Mot so vän de ly luän va thuc tien Phän 4 Nghien cuu cac khu vuc - H DHQG, 2008 - Tr 286-305, Luang N ASEAN thong nhät trong da dang Hien trang va trien vong // Tap chi nghien cuu lich su - 2008 - № 1 - Tr 3-9, Nguyen T T T Quan he My - ASEAN nhttng näm däu the ky XXI Tap chuyen de 1 Nghien cuu quöc te - Mot so vän de ly luän va thuc tien Phän 2 Quan he quöc te va chinh sach döi ngoai cua Viet Nam H DHQG, 2007 - Tr 99-115, Pham Q M Phuong thuc ASEAN (The ASEAN way) ban säe cua mot to chuc khu vuc Täp chuyen de I Nghien cuu quöc te - Möt so vän de ly luän va thuc tien Phän 1 Möt sö vän de ly luän trong nghien cuu quöc te - H DHQG, 2006 - Tr 50-57</w:t>
      </w:r>
    </w:p>
    <w:p w:rsidR="00963B20" w:rsidRPr="00963B20" w:rsidRDefault="00963B20" w:rsidP="00963B20">
      <w:pPr>
        <w:pStyle w:val="WW8Num2z0"/>
        <w:shd w:val="clear" w:color="auto" w:fill="F7F7F7"/>
        <w:spacing w:before="75" w:line="270" w:lineRule="atLeast"/>
        <w:ind w:firstLine="480"/>
        <w:jc w:val="both"/>
        <w:rPr>
          <w:rFonts w:ascii="Verdana" w:hAnsi="Verdana"/>
          <w:color w:val="000000"/>
          <w:sz w:val="18"/>
          <w:szCs w:val="18"/>
          <w:lang w:val="en-US"/>
        </w:rPr>
      </w:pPr>
      <w:r w:rsidRPr="00963B20">
        <w:rPr>
          <w:rFonts w:ascii="Verdana" w:hAnsi="Verdana"/>
          <w:color w:val="000000"/>
          <w:sz w:val="18"/>
          <w:szCs w:val="18"/>
          <w:lang w:val="en-US"/>
        </w:rPr>
        <w:t xml:space="preserve">25 Cm Nguyin D </w:t>
      </w:r>
      <w:r>
        <w:rPr>
          <w:rFonts w:ascii="Verdana" w:hAnsi="Verdana"/>
          <w:color w:val="000000"/>
          <w:sz w:val="18"/>
          <w:szCs w:val="18"/>
        </w:rPr>
        <w:t>С</w:t>
      </w:r>
      <w:r w:rsidRPr="00963B20">
        <w:rPr>
          <w:rFonts w:ascii="Verdana" w:hAnsi="Verdana"/>
          <w:color w:val="000000"/>
          <w:sz w:val="18"/>
          <w:szCs w:val="18"/>
          <w:lang w:val="en-US"/>
        </w:rPr>
        <w:t xml:space="preserve"> Cong uac näm 2007 cua ASEAN ve chöng khung bö va su tham gia cua Viet Nam // Tap chi Nghien cuu läp phap - 2009 - № 6 - Tr 52-58, Nguyen D </w:t>
      </w:r>
      <w:r>
        <w:rPr>
          <w:rFonts w:ascii="Verdana" w:hAnsi="Verdana"/>
          <w:color w:val="000000"/>
          <w:sz w:val="18"/>
          <w:szCs w:val="18"/>
        </w:rPr>
        <w:t>С</w:t>
      </w:r>
      <w:r w:rsidRPr="00963B20">
        <w:rPr>
          <w:rFonts w:ascii="Verdana" w:hAnsi="Verdana"/>
          <w:color w:val="000000"/>
          <w:sz w:val="18"/>
          <w:szCs w:val="18"/>
          <w:lang w:val="en-US"/>
        </w:rPr>
        <w:t xml:space="preserve"> Möt sö vän de phap ly ca ban cua Hien chuang ASEAN // </w:t>
      </w:r>
      <w:r>
        <w:rPr>
          <w:rFonts w:ascii="Verdana" w:hAnsi="Verdana"/>
          <w:color w:val="000000"/>
          <w:sz w:val="18"/>
          <w:szCs w:val="18"/>
        </w:rPr>
        <w:t>Тар</w:t>
      </w:r>
      <w:r w:rsidRPr="00963B20">
        <w:rPr>
          <w:rFonts w:ascii="Verdana" w:hAnsi="Verdana"/>
          <w:color w:val="000000"/>
          <w:sz w:val="18"/>
          <w:szCs w:val="18"/>
          <w:lang w:val="en-US"/>
        </w:rPr>
        <w:t xml:space="preserve"> chi nghien cuu läp phap - 2009 - № 2 - Tr 73-76, Chalempalanupap T (Special Assistant to the Secretary-General of ASEAN) The need of a legal framwork for ASEAN Integration Presentation at International Law Conference on ASEAN Legal Systems and Regional Integration, 3-4 September 2001, Asia-Europe Institute, University of Malay, Malaysia</w:t>
      </w:r>
    </w:p>
    <w:p w:rsidR="00963B20" w:rsidRPr="00963B20" w:rsidRDefault="00963B20" w:rsidP="00963B20">
      <w:pPr>
        <w:pStyle w:val="WW8Num2z0"/>
        <w:shd w:val="clear" w:color="auto" w:fill="F7F7F7"/>
        <w:spacing w:before="75" w:line="270" w:lineRule="atLeast"/>
        <w:ind w:firstLine="480"/>
        <w:jc w:val="both"/>
        <w:rPr>
          <w:rFonts w:ascii="Verdana" w:hAnsi="Verdana"/>
          <w:color w:val="000000"/>
          <w:sz w:val="18"/>
          <w:szCs w:val="18"/>
          <w:lang w:val="en-US"/>
        </w:rPr>
      </w:pPr>
      <w:r w:rsidRPr="00963B20">
        <w:rPr>
          <w:rFonts w:ascii="Verdana" w:hAnsi="Verdana"/>
          <w:color w:val="000000"/>
          <w:sz w:val="18"/>
          <w:szCs w:val="18"/>
          <w:lang w:val="en-US"/>
        </w:rPr>
        <w:t xml:space="preserve">26 Cm Koh </w:t>
      </w:r>
      <w:r>
        <w:rPr>
          <w:rFonts w:ascii="Verdana" w:hAnsi="Verdana"/>
          <w:color w:val="000000"/>
          <w:sz w:val="18"/>
          <w:szCs w:val="18"/>
        </w:rPr>
        <w:t>К</w:t>
      </w:r>
      <w:r w:rsidRPr="00963B20">
        <w:rPr>
          <w:rFonts w:ascii="Verdana" w:hAnsi="Verdana"/>
          <w:color w:val="000000"/>
          <w:sz w:val="18"/>
          <w:szCs w:val="18"/>
          <w:lang w:val="en-US"/>
        </w:rPr>
        <w:t xml:space="preserve"> L Robinson N A Regional Environmental Governance Examining the Association of Southeast Asian Nations (ASEAN) Model // Global Environmental Governance - Options &amp; Opportunities / </w:t>
      </w:r>
      <w:r>
        <w:rPr>
          <w:rFonts w:ascii="Verdana" w:hAnsi="Verdana"/>
          <w:color w:val="000000"/>
          <w:sz w:val="18"/>
          <w:szCs w:val="18"/>
        </w:rPr>
        <w:t>С</w:t>
      </w:r>
      <w:r w:rsidRPr="00963B20">
        <w:rPr>
          <w:rFonts w:ascii="Verdana" w:hAnsi="Verdana"/>
          <w:color w:val="000000"/>
          <w:sz w:val="18"/>
          <w:szCs w:val="18"/>
          <w:lang w:val="en-US"/>
        </w:rPr>
        <w:t xml:space="preserve"> E Daniel, H I Maria (eds ) - New Haven, CT Yale School of Forestry and Environmental Studies, 2002 - P 101-120, Koh </w:t>
      </w:r>
      <w:r>
        <w:rPr>
          <w:rFonts w:ascii="Verdana" w:hAnsi="Verdana"/>
          <w:color w:val="000000"/>
          <w:sz w:val="18"/>
          <w:szCs w:val="18"/>
        </w:rPr>
        <w:t>К</w:t>
      </w:r>
      <w:r w:rsidRPr="00963B20">
        <w:rPr>
          <w:rFonts w:ascii="Verdana" w:hAnsi="Verdana"/>
          <w:color w:val="000000"/>
          <w:sz w:val="18"/>
          <w:szCs w:val="18"/>
          <w:lang w:val="en-US"/>
        </w:rPr>
        <w:t xml:space="preserve"> L Robinson NA Strengthening sustainable Development in Regional In-Governmental Governance from the «ASEAN Way»//Singapore Journal of International and Comparative Law - 2002 - №6 -P 640-682, Koh </w:t>
      </w:r>
      <w:r>
        <w:rPr>
          <w:rFonts w:ascii="Verdana" w:hAnsi="Verdana"/>
          <w:color w:val="000000"/>
          <w:sz w:val="18"/>
          <w:szCs w:val="18"/>
        </w:rPr>
        <w:t>К</w:t>
      </w:r>
      <w:r w:rsidRPr="00963B20">
        <w:rPr>
          <w:rFonts w:ascii="Verdana" w:hAnsi="Verdana"/>
          <w:color w:val="000000"/>
          <w:sz w:val="18"/>
          <w:szCs w:val="18"/>
          <w:lang w:val="en-US"/>
        </w:rPr>
        <w:t xml:space="preserve"> L Agreement on the conservation of nature and natural resources 1985 a study in environmental governance Report on World Parks Congress, Durban, 8-17 September 2003 URL http </w:t>
      </w:r>
      <w:r w:rsidRPr="00963B20">
        <w:rPr>
          <w:rFonts w:ascii="Verdana" w:hAnsi="Verdana"/>
          <w:color w:val="000000"/>
          <w:sz w:val="18"/>
          <w:szCs w:val="18"/>
          <w:lang w:val="en-US"/>
        </w:rPr>
        <w:lastRenderedPageBreak/>
        <w:t>//law nus edu sg/apcel/publications/pub/kohkh-englian/aseanagreement doc (</w:t>
      </w:r>
      <w:r>
        <w:rPr>
          <w:rFonts w:ascii="Verdana" w:hAnsi="Verdana"/>
          <w:color w:val="000000"/>
          <w:sz w:val="18"/>
          <w:szCs w:val="18"/>
        </w:rPr>
        <w:t>дата</w:t>
      </w:r>
      <w:r w:rsidRPr="00963B20">
        <w:rPr>
          <w:rFonts w:ascii="Verdana" w:hAnsi="Verdana"/>
          <w:color w:val="000000"/>
          <w:sz w:val="18"/>
          <w:szCs w:val="18"/>
          <w:lang w:val="en-US"/>
        </w:rPr>
        <w:t xml:space="preserve"> </w:t>
      </w:r>
      <w:r>
        <w:rPr>
          <w:rFonts w:ascii="Verdana" w:hAnsi="Verdana"/>
          <w:color w:val="000000"/>
          <w:sz w:val="18"/>
          <w:szCs w:val="18"/>
        </w:rPr>
        <w:t>обращения</w:t>
      </w:r>
      <w:r w:rsidRPr="00963B20">
        <w:rPr>
          <w:rFonts w:ascii="Verdana" w:hAnsi="Verdana"/>
          <w:color w:val="000000"/>
          <w:sz w:val="18"/>
          <w:szCs w:val="18"/>
          <w:lang w:val="en-US"/>
        </w:rPr>
        <w:t xml:space="preserve"> 10 01 2013), Koh KL ASEAN environmental protection in natural resources and sustainable development convergence versus divergence // Macquarie Journal of International and Comparative Environmental Law - 2007 - Vol 4 - P 43-70, Koh </w:t>
      </w:r>
      <w:r>
        <w:rPr>
          <w:rFonts w:ascii="Verdana" w:hAnsi="Verdana"/>
          <w:color w:val="000000"/>
          <w:sz w:val="18"/>
          <w:szCs w:val="18"/>
        </w:rPr>
        <w:t>К</w:t>
      </w:r>
      <w:r w:rsidRPr="00963B20">
        <w:rPr>
          <w:rFonts w:ascii="Verdana" w:hAnsi="Verdana"/>
          <w:color w:val="000000"/>
          <w:sz w:val="18"/>
          <w:szCs w:val="18"/>
          <w:lang w:val="en-US"/>
        </w:rPr>
        <w:t xml:space="preserve"> L Regional and State Level Environmental Governance ASEAN's Environmental Governance An Evaluation A Paper Prepared for the UNITAR/Yale Conference on Environmental Governance and Democracy New Haven 10-11 May 2008 URL http //envirocenter yale edu/envdem/documents htm (</w:t>
      </w:r>
      <w:r>
        <w:rPr>
          <w:rFonts w:ascii="Verdana" w:hAnsi="Verdana"/>
          <w:color w:val="000000"/>
          <w:sz w:val="18"/>
          <w:szCs w:val="18"/>
        </w:rPr>
        <w:t>дата</w:t>
      </w:r>
      <w:r w:rsidRPr="00963B20">
        <w:rPr>
          <w:rFonts w:ascii="Verdana" w:hAnsi="Verdana"/>
          <w:color w:val="000000"/>
          <w:sz w:val="18"/>
          <w:szCs w:val="18"/>
          <w:lang w:val="en-US"/>
        </w:rPr>
        <w:t xml:space="preserve"> </w:t>
      </w:r>
      <w:r>
        <w:rPr>
          <w:rFonts w:ascii="Verdana" w:hAnsi="Verdana"/>
          <w:color w:val="000000"/>
          <w:sz w:val="18"/>
          <w:szCs w:val="18"/>
        </w:rPr>
        <w:t>обращения</w:t>
      </w:r>
      <w:r w:rsidRPr="00963B20">
        <w:rPr>
          <w:rFonts w:ascii="Verdana" w:hAnsi="Verdana"/>
          <w:color w:val="000000"/>
          <w:sz w:val="18"/>
          <w:szCs w:val="18"/>
          <w:lang w:val="en-US"/>
        </w:rPr>
        <w:t xml:space="preserve"> 04 12 2012)</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Даже такой беглый обзор российских и зарубежных международно-правовых публикаций по АСЕАН указывает на то, что международно-правовая доктрина не уделяет достаточного внимания защите окружающей среды в рамках этой Организации. Расширение научных исследований по международно-правовым аспектам деятельности АСЕАН произошло относительно недавно, в связи с принятием Устава Организации. А как известно, защита окружающей среды обычно относится ко второму плану сотрудничества в АСЕАН (и не только). Изменение в подходах руководителей стран Юго-Восточной Азии (и можно сказать, всего мира) к этой проблематике произошло лишь недавно.</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возникающие между субъектами международного права по поводу защиты окружающей среды и обеспечения устойчивого развития в АСЕАН.</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актуальные вопросы, касающиеся защиты окружающей среды и обеспечения устойчивого развития в АСЕАН, положения международных договоров, относящихся к данной сфере.</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данного диссертационного исследования является комплексное изучение состояния и перспектив развития международно-правовых норм, регулирующих защиту окружающей среды и обеспечение устойчивого развития в АСЕАН, основные направления и перспективы ее природоохранной деятельности.</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предопределило решение следующих задач:</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основных этапов становления и развития АСЕАН и ее институционального механизма защиты окружающей среды;</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рассмотрения процесса реализации концепции и принципов устойчивого развития в деятельности АСЕАН;</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определения сущности экосистемного управления охраной окружающей среды в АСЕАН на примере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сохранении природы и природных ресурсов 1985 г.;</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рассмотрения соотношения между экосистемным подходом к управлению охраной окружающей среды и «</w:t>
      </w:r>
      <w:r>
        <w:rPr>
          <w:rStyle w:val="WW8Num4z0"/>
          <w:rFonts w:ascii="Verdana" w:hAnsi="Verdana"/>
          <w:color w:val="4682B4"/>
          <w:sz w:val="18"/>
          <w:szCs w:val="18"/>
        </w:rPr>
        <w:t>методом АСЕАН</w:t>
      </w:r>
      <w:r>
        <w:rPr>
          <w:rFonts w:ascii="Verdana" w:hAnsi="Verdana"/>
          <w:color w:val="000000"/>
          <w:sz w:val="18"/>
          <w:szCs w:val="18"/>
        </w:rPr>
        <w:t>»;</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анализа основных направлений и перспектив природоохранной деятельности АСЕАН.</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системный подход - при анализе понятийного аппарата темы;</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 исторического анализа и диалектический метод - при исследовании международно-правовых вопросов становления и развития АСЕАН, реализации концепции и принципов устойчивого развития в ее деятельности;</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сравнительно-правовой метод - при анализе международно-правовых основ интеграционных процессов в АСЕАН и ЕС;</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междисциплинарный метод.</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этого при проведении исследования применялись специальные методы специальные методы формально-юридического, нормативно-догматического и правого моделирования.</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российских ученых, изучавших проблемы АСЕАН, устойчивого развития, права международных организаций, международного морского права, международного экологического права, таких как: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И.П. Блищенко, М.М. Бринчук, A.C.</w:t>
      </w:r>
      <w:r>
        <w:rPr>
          <w:rStyle w:val="WW8Num3z0"/>
          <w:rFonts w:ascii="Verdana" w:hAnsi="Verdana"/>
          <w:color w:val="000000"/>
          <w:sz w:val="18"/>
          <w:szCs w:val="18"/>
        </w:rPr>
        <w:t> </w:t>
      </w:r>
      <w:r>
        <w:rPr>
          <w:rStyle w:val="WW8Num4z0"/>
          <w:rFonts w:ascii="Verdana" w:hAnsi="Verdana"/>
          <w:color w:val="4682B4"/>
          <w:sz w:val="18"/>
          <w:szCs w:val="18"/>
        </w:rPr>
        <w:t>Воронин</w:t>
      </w:r>
      <w:r>
        <w:rPr>
          <w:rFonts w:ascii="Verdana" w:hAnsi="Verdana"/>
          <w:color w:val="000000"/>
          <w:sz w:val="18"/>
          <w:szCs w:val="18"/>
        </w:rPr>
        <w:t>, А.Н. Вылегжанин, В.И. Данилов-Данильян, А .Я. Капустин, Е.В.</w:t>
      </w:r>
      <w:r>
        <w:rPr>
          <w:rStyle w:val="WW8Num3z0"/>
          <w:rFonts w:ascii="Verdana" w:hAnsi="Verdana"/>
          <w:color w:val="000000"/>
          <w:sz w:val="18"/>
          <w:szCs w:val="18"/>
        </w:rPr>
        <w:t> </w:t>
      </w:r>
      <w:r>
        <w:rPr>
          <w:rStyle w:val="WW8Num4z0"/>
          <w:rFonts w:ascii="Verdana" w:hAnsi="Verdana"/>
          <w:color w:val="4682B4"/>
          <w:sz w:val="18"/>
          <w:szCs w:val="18"/>
        </w:rPr>
        <w:t>Колдунова</w:t>
      </w:r>
      <w:r>
        <w:rPr>
          <w:rFonts w:ascii="Verdana" w:hAnsi="Verdana"/>
          <w:color w:val="000000"/>
          <w:sz w:val="18"/>
          <w:szCs w:val="18"/>
        </w:rPr>
        <w:t>, О.С. Колбасов, М.Н. Копылов, В.И.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xml:space="preserve">, Г.М. Локшин, И.И. Лукашук, </w:t>
      </w:r>
      <w:r>
        <w:rPr>
          <w:rFonts w:ascii="Verdana" w:hAnsi="Verdana"/>
          <w:color w:val="000000"/>
          <w:sz w:val="18"/>
          <w:szCs w:val="18"/>
        </w:rPr>
        <w:lastRenderedPageBreak/>
        <w:t>Н.П.</w:t>
      </w:r>
      <w:r>
        <w:rPr>
          <w:rStyle w:val="WW8Num3z0"/>
          <w:rFonts w:ascii="Verdana" w:hAnsi="Verdana"/>
          <w:color w:val="000000"/>
          <w:sz w:val="18"/>
          <w:szCs w:val="18"/>
        </w:rPr>
        <w:t> </w:t>
      </w:r>
      <w:r>
        <w:rPr>
          <w:rStyle w:val="WW8Num4z0"/>
          <w:rFonts w:ascii="Verdana" w:hAnsi="Verdana"/>
          <w:color w:val="4682B4"/>
          <w:sz w:val="18"/>
          <w:szCs w:val="18"/>
        </w:rPr>
        <w:t>Малетин</w:t>
      </w:r>
      <w:r>
        <w:rPr>
          <w:rFonts w:ascii="Verdana" w:hAnsi="Verdana"/>
          <w:color w:val="000000"/>
          <w:sz w:val="18"/>
          <w:szCs w:val="18"/>
        </w:rPr>
        <w:t>, Д.В. Мосяков, A.A. Рогожин, Н.Г.</w:t>
      </w:r>
      <w:r>
        <w:rPr>
          <w:rStyle w:val="WW8Num3z0"/>
          <w:rFonts w:ascii="Verdana" w:hAnsi="Verdana"/>
          <w:color w:val="000000"/>
          <w:sz w:val="18"/>
          <w:szCs w:val="18"/>
        </w:rPr>
        <w:t> </w:t>
      </w:r>
      <w:r>
        <w:rPr>
          <w:rStyle w:val="WW8Num4z0"/>
          <w:rFonts w:ascii="Verdana" w:hAnsi="Verdana"/>
          <w:color w:val="4682B4"/>
          <w:sz w:val="18"/>
          <w:szCs w:val="18"/>
        </w:rPr>
        <w:t>Рогожина</w:t>
      </w:r>
      <w:r>
        <w:rPr>
          <w:rFonts w:ascii="Verdana" w:hAnsi="Verdana"/>
          <w:color w:val="000000"/>
          <w:sz w:val="18"/>
          <w:szCs w:val="18"/>
        </w:rPr>
        <w:t>, H.A. Соколова, A.M. Солнцев, A.C.</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В.А. Чичварин и др.</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автор опирался на труды таких зарубежных ученых, как: М. Алагаппа, Дж. Алкамо, А. Ачарая, Н. Баденоч, Д. Батлер, Д. Беливуд, М. Бесон, Ф. Биерманн, В.</w:t>
      </w:r>
      <w:r>
        <w:rPr>
          <w:rStyle w:val="WW8Num3z0"/>
          <w:rFonts w:ascii="Verdana" w:hAnsi="Verdana"/>
          <w:color w:val="000000"/>
          <w:sz w:val="18"/>
          <w:szCs w:val="18"/>
        </w:rPr>
        <w:t> </w:t>
      </w:r>
      <w:r>
        <w:rPr>
          <w:rStyle w:val="WW8Num4z0"/>
          <w:rFonts w:ascii="Verdana" w:hAnsi="Verdana"/>
          <w:color w:val="4682B4"/>
          <w:sz w:val="18"/>
          <w:szCs w:val="18"/>
        </w:rPr>
        <w:t>Боер</w:t>
      </w:r>
      <w:r>
        <w:rPr>
          <w:rFonts w:ascii="Verdana" w:hAnsi="Verdana"/>
          <w:color w:val="000000"/>
          <w:sz w:val="18"/>
          <w:szCs w:val="18"/>
        </w:rPr>
        <w:t>, З.Н. By, С. Вуд, Э. Грумбине, Г. Дайли, К.Л.</w:t>
      </w:r>
      <w:r>
        <w:rPr>
          <w:rStyle w:val="WW8Num3z0"/>
          <w:rFonts w:ascii="Verdana" w:hAnsi="Verdana"/>
          <w:color w:val="000000"/>
          <w:sz w:val="18"/>
          <w:szCs w:val="18"/>
        </w:rPr>
        <w:t> </w:t>
      </w:r>
      <w:r>
        <w:rPr>
          <w:rStyle w:val="WW8Num4z0"/>
          <w:rFonts w:ascii="Verdana" w:hAnsi="Verdana"/>
          <w:color w:val="4682B4"/>
          <w:sz w:val="18"/>
          <w:szCs w:val="18"/>
        </w:rPr>
        <w:t>Кох</w:t>
      </w:r>
      <w:r>
        <w:rPr>
          <w:rFonts w:ascii="Verdana" w:hAnsi="Verdana"/>
          <w:color w:val="000000"/>
          <w:sz w:val="18"/>
          <w:szCs w:val="18"/>
        </w:rPr>
        <w:t>, Л. Ле, Н. Луонг, Дж. Макинон, М.Нйстром, Х.Ф. Нго, Д.Х.</w:t>
      </w:r>
      <w:r>
        <w:rPr>
          <w:rStyle w:val="WW8Num3z0"/>
          <w:rFonts w:ascii="Verdana" w:hAnsi="Verdana"/>
          <w:color w:val="000000"/>
          <w:sz w:val="18"/>
          <w:szCs w:val="18"/>
        </w:rPr>
        <w:t> </w:t>
      </w:r>
      <w:r>
        <w:rPr>
          <w:rStyle w:val="WW8Num4z0"/>
          <w:rFonts w:ascii="Verdana" w:hAnsi="Verdana"/>
          <w:color w:val="4682B4"/>
          <w:sz w:val="18"/>
          <w:szCs w:val="18"/>
        </w:rPr>
        <w:t>Нгуен</w:t>
      </w:r>
      <w:r>
        <w:rPr>
          <w:rFonts w:ascii="Verdana" w:hAnsi="Verdana"/>
          <w:color w:val="000000"/>
          <w:sz w:val="18"/>
          <w:szCs w:val="18"/>
        </w:rPr>
        <w:t>, З.Т. Нгуен, К.Т. Нгуен, К.Х. Нгуен, Н.Ш. Нгуен, С.Т. Нгуен, Т.Т.Т. Нгуен, Г. Палвиакис, Н. Робинсон, Ф. Сандс, Е. Скольников, С. Тай, Д.Т.</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Фам</w:t>
      </w:r>
      <w:r>
        <w:rPr>
          <w:rFonts w:ascii="Verdana" w:hAnsi="Verdana"/>
          <w:color w:val="000000"/>
          <w:sz w:val="18"/>
          <w:szCs w:val="18"/>
        </w:rPr>
        <w:t>, К.М. Фам, К. Фолке, Д. Фристоун, Л. Хсу, Т. Хюсь, В. Цихринцис, X. Чан, А. Чейз, С. Чинкин, Д. Шелтон, Л. Эллиот и др.</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нормативные акты</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некоторых ее специализированных учреждений, в которых раскрываются принципов устойчивого развития и обеспечения экологической безопасности, акты экологического права Европейского Союза, международные природоохранные акты АСЕАН, а также нормы</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стран-членов АСЕАН.</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оно является первым в российской науке международного права комплексным монографическим исследованием международно-правовых аспектов природоохранной деятельности в рамках АСЕАН. Диссертационное исследование является новаторским, поскольку в российской и зарубежной доктрине международного права отсутствуют исследования, специально посвященные проблематике защиты окружающей среды в АСЕАН.</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обоснована авторская периодизация истории становления и развития АСЕАН из субрегионального форума государств в полноценную региональную межправительственную организацию. Впервые с позиций эко-системного подхода проведен всесторонний анализ Соглашения АСЕАН 1985 г. о сохранении природы и природных ресурсов и его роли в прогрессивном развитии международного экологического права. Научной новизной отличается также впервые проведенное в российской и зарубежной международно-правовой науке исследование связи между экосистемным подходом к охране окружающей среды и «</w:t>
      </w:r>
      <w:r>
        <w:rPr>
          <w:rStyle w:val="WW8Num4z0"/>
          <w:rFonts w:ascii="Verdana" w:hAnsi="Verdana"/>
          <w:color w:val="4682B4"/>
          <w:sz w:val="18"/>
          <w:szCs w:val="18"/>
        </w:rPr>
        <w:t>методом АСЕАН</w:t>
      </w:r>
      <w:r>
        <w:rPr>
          <w:rFonts w:ascii="Verdana" w:hAnsi="Verdana"/>
          <w:color w:val="000000"/>
          <w:sz w:val="18"/>
          <w:szCs w:val="18"/>
        </w:rPr>
        <w:t>». В диссертации впервые проанализированы место и роль т.н. мягкого права в системе источников международно-правового регулирования защиты окружающей среды в АСЕАН. Научная новизна диссертации также заключается в том, что основные направления природоохранной деятельности АСЕАН, такие как защита и сохранение паркого хозяйства, согласование энергетической и экологической политики, сохранение биологического разнообразия, впервые получили международно-правовой анализ.</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и в том, что в нем впервые в российской международно-правовой литературе проведен анализ таких документов АСЕАН на языке оригинала, как «</w:t>
      </w:r>
      <w:r>
        <w:rPr>
          <w:rStyle w:val="WW8Num4z0"/>
          <w:rFonts w:ascii="Verdana" w:hAnsi="Verdana"/>
          <w:color w:val="4682B4"/>
          <w:sz w:val="18"/>
          <w:szCs w:val="18"/>
        </w:rPr>
        <w:t>Балийская декларация о Сообществе АСЕАН в глобальном сообществе</w:t>
      </w:r>
      <w:r>
        <w:rPr>
          <w:rFonts w:ascii="Verdana" w:hAnsi="Verdana"/>
          <w:color w:val="000000"/>
          <w:sz w:val="18"/>
          <w:szCs w:val="18"/>
        </w:rPr>
        <w:t>» («Балийское соглашение III»), принятая 17 ноября 2011 г., и Декларация прав человека АСЕАН, принятая 18 ноября 2012 г.</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Разработка темы исследования позволила автору сформулировать следующее основные положения, выносимые на защиту.</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международно-правовых критериев, определяющих институционально-правовую основу деятельности АСЕАН, предлагается авторский вариант периодизации истории становления и развития Ассоциации на четыре этапа: 1967 - 1976 гг.; 1976 - 1992 гг.; 1992 - 2008 гг.; 2008 г. - н/в.</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первом этапе не существовало четкой правовой и институциональной основы деятельности АСЕАН.</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этап характеризуется укреплением организационно-правовой основы деятельности АСЕАН: принимается первый</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обязывающий документ - Балийский договор, и решение о создании постоянного Секретариата АСЕАН.</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этап характеризуется тесным сотрудничеством и интеграцией стран АСЕАН, в результате чего была создана зона свободной торговли, и начался процесс образования Сообщества АСЕАН с опорой на Сообщество безопасности, Экономическое сообщество и Сообщество по социально-культурным вопросам.</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этот период устанавливается периодичность созыва официальных (раз в три года) и неофициальных (раз в год между официальными) саммитов АСЕАН, распускаются пять экономических комитетов и учреждается Совет зоны свободной торговли, расширяются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Генерального секретаря АСЕАН.</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который берет свое начало в 2008 г., когда вступил в силу Устав Ассоциации, АСЕАН превращается в полноценную региональную международную межправительственную организацию.</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Принимающие и реализующие решения органы подразделяются по трем основным направлениям деятельности: безопасность, экономика и социально-культурная сфера. Учреждается механизм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государствами-членами АСЕАН.</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 точки зрения теории международного права и теории права международных организаций, экологическая компетенция АСЕАН и ее главных органов является основной и прямой. Данный вывод основывается на наличии в перечне целей Ассоциации указания на «содействие устойчивому развитию с целью гарантировать защиту окружающей среды региона, устойчивость использования природных ресурсов, сохранение культурного наследия и высокий уровень жизни народов» (ст. 1 Устава).</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АСЕАН позволяет прийти к выводу, что экологической компетенцией обладают все три ее Сообщества: по безопасности, экономическое и по социально-культурным вопросам. При этом основная ответственность за организацию международного природоохранного сотрудничества в рамках АСЕАН</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на Сообщество по социально-культурным вопросам.</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саммит АСЕАН наделен функциями по общему руководству природоохранной деятельностью Ассоциации, в том числе и руководству деятельностью Совета Сообщества АСЕАН по социально-культурным вопросам в данной области, то последний обладает достаточно широкой конкретной компетенцией по осуществлению такой деятельности.</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составе Совета Сообщества по социально-культурным вопросам основная ответственность за организацию и осуществление природоохранной деятельности возложена на министерский орган по охране окружающей среды, для чего в его рамках функционируют подчиняющиеся ему высшие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по окружающей среде и семь рабочих групп по приоритетным направлениям: по многосторонним экологическим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Fonts w:ascii="Verdana" w:hAnsi="Verdana"/>
          <w:color w:val="000000"/>
          <w:sz w:val="18"/>
          <w:szCs w:val="18"/>
        </w:rPr>
        <w:t>; по сохранению природы и биологического разнообразия; по управлению водными ресурсами; по прибрежной и морской среде; по экологическому образованию; по экологически устойчивым городам; по изменению климата.</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АСЕАН принял на вооружение комплексный подход к безопасности, в соответствии с которым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интегрированная связь между политическими, экономическими, социально-культурными и экологическими факторами развития.</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Несмотря на то, что борьба с трансграничным переносом дымового загрязнения относится к проблеме охраны природы, она выделена в самостоятельную предметную область деятельности Совета Сообщества по социально-культурным вопросам и по ней принята отдельная Программа.</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дается высокая оценка принятой на 21-ом саммите АСЕАН в ноябре 2012 г.</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АСЕАН, как первого шага на пути к разработке юридически обязательного акта в этой области. Будущая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правам человека, принятая в рамках АСЕАН, должна включать в себя отдельный раздел по экологическим правам человека, содержащий наиболее полный их перечень. Параллельно страны АСЕАН должны предпринимать усилия по повышению эффективности работы Межправительственной комиссии АСЕАН по правам человека вообще, и в защите экологических прав человека - в частности.</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АСЕАН не является наднациональной организацией, которая принимает юридически обязательные для государств решения прямого действия. Все ее органы, в том числе природоохранные, являются</w:t>
      </w:r>
      <w:r>
        <w:rPr>
          <w:rStyle w:val="WW8Num3z0"/>
          <w:rFonts w:ascii="Verdana" w:hAnsi="Verdana"/>
          <w:color w:val="000000"/>
          <w:sz w:val="18"/>
          <w:szCs w:val="18"/>
        </w:rPr>
        <w:t> </w:t>
      </w:r>
      <w:r>
        <w:rPr>
          <w:rStyle w:val="WW8Num4z0"/>
          <w:rFonts w:ascii="Verdana" w:hAnsi="Verdana"/>
          <w:color w:val="4682B4"/>
          <w:sz w:val="18"/>
          <w:szCs w:val="18"/>
        </w:rPr>
        <w:t>коллегиальными</w:t>
      </w:r>
      <w:r>
        <w:rPr>
          <w:rFonts w:ascii="Verdana" w:hAnsi="Verdana"/>
          <w:color w:val="000000"/>
          <w:sz w:val="18"/>
          <w:szCs w:val="18"/>
        </w:rPr>
        <w:t>, что позволяет учитывать интересы всех государств-членов. Недостаточная эффективность системы органов АСЕАН в области</w:t>
      </w:r>
      <w:r>
        <w:rPr>
          <w:rStyle w:val="WW8Num3z0"/>
          <w:rFonts w:ascii="Verdana" w:hAnsi="Verdana"/>
          <w:color w:val="000000"/>
          <w:sz w:val="18"/>
          <w:szCs w:val="18"/>
        </w:rPr>
        <w:t> </w:t>
      </w:r>
      <w:r>
        <w:rPr>
          <w:rStyle w:val="WW8Num4z0"/>
          <w:rFonts w:ascii="Verdana" w:hAnsi="Verdana"/>
          <w:color w:val="4682B4"/>
          <w:sz w:val="18"/>
          <w:szCs w:val="18"/>
        </w:rPr>
        <w:t>природоохранения</w:t>
      </w:r>
      <w:r>
        <w:rPr>
          <w:rFonts w:ascii="Verdana" w:hAnsi="Verdana"/>
          <w:color w:val="000000"/>
          <w:sz w:val="18"/>
          <w:szCs w:val="18"/>
        </w:rPr>
        <w:t>, рассре-доточенность полномочий по защите окружающей среды между многими органами АСЕАН, приводящая иногда к «</w:t>
      </w:r>
      <w:r>
        <w:rPr>
          <w:rStyle w:val="WW8Num4z0"/>
          <w:rFonts w:ascii="Verdana" w:hAnsi="Verdana"/>
          <w:color w:val="4682B4"/>
          <w:sz w:val="18"/>
          <w:szCs w:val="18"/>
        </w:rPr>
        <w:t>фрагментации</w:t>
      </w:r>
      <w:r>
        <w:rPr>
          <w:rFonts w:ascii="Verdana" w:hAnsi="Verdana"/>
          <w:color w:val="000000"/>
          <w:sz w:val="18"/>
          <w:szCs w:val="18"/>
        </w:rPr>
        <w:t xml:space="preserve">» и неэффективности природоохранной деятельности АСЕАН, заставляют ставить вопрос о необходимости объединения двух предметных областей деятельности </w:t>
      </w:r>
      <w:r>
        <w:rPr>
          <w:rFonts w:ascii="Verdana" w:hAnsi="Verdana"/>
          <w:color w:val="000000"/>
          <w:sz w:val="18"/>
          <w:szCs w:val="18"/>
        </w:rPr>
        <w:lastRenderedPageBreak/>
        <w:t>Совета Сообщества по социально-культурным вопросам в одну - область защиты окружающей среды, создания централизованного и постоянно действующего органа исключительно для обеспечения международного природоохранного сотрудничества. Это находится в полном соответствии с современным представлением науки международного права о режиме международного управления. При этом должен быть сохранен Министерский орган из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национальных природоохранных ведомств для реализации «</w:t>
      </w:r>
      <w:r>
        <w:rPr>
          <w:rStyle w:val="WW8Num4z0"/>
          <w:rFonts w:ascii="Verdana" w:hAnsi="Verdana"/>
          <w:color w:val="4682B4"/>
          <w:sz w:val="18"/>
          <w:szCs w:val="18"/>
        </w:rPr>
        <w:t>метода АСЕАН</w:t>
      </w:r>
      <w:r>
        <w:rPr>
          <w:rFonts w:ascii="Verdana" w:hAnsi="Verdana"/>
          <w:color w:val="000000"/>
          <w:sz w:val="18"/>
          <w:szCs w:val="18"/>
        </w:rPr>
        <w:t>» с учетом интересов всех стран Ассоциации. По-прежнему актуальным остается вопрос об учреждении Комитета АСЕАН по окружающей среде.</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Природоохранная практика АСЕАН наглядно показала, что концепция и принципы устойчивого развития были поэтапно реализованы в деятельности Ассоциации. Более того, государства-члены АСЕАН первыми в мире восприняли концепцию устойчивого развития в своих взаимоотношениях, о чем свидетельствует принятие 30 октября 1987 г., т.е. за два месяца до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доклада «</w:t>
      </w:r>
      <w:r>
        <w:rPr>
          <w:rStyle w:val="WW8Num4z0"/>
          <w:rFonts w:ascii="Verdana" w:hAnsi="Verdana"/>
          <w:color w:val="4682B4"/>
          <w:sz w:val="18"/>
          <w:szCs w:val="18"/>
        </w:rPr>
        <w:t>Наше общее будущее</w:t>
      </w:r>
      <w:r>
        <w:rPr>
          <w:rFonts w:ascii="Verdana" w:hAnsi="Verdana"/>
          <w:color w:val="000000"/>
          <w:sz w:val="18"/>
          <w:szCs w:val="18"/>
        </w:rPr>
        <w:t>», Джакартской резолюции по устойчивому развитию, содержавшей определение устойчивого развития и основные его принципы.</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Анализ Соглашения АСЕАН 1985 г. о сохранении природы и природных ресурсов позволил прийти к выводу, что некоторые его положения были заимствованы из</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сохранении морских живых ресурсов Антарктики 1980 г. и Всемирной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природы 1982 г. Это, прежде всего, относится к механизмам сохранения морских живых ресурсов и к необходимости предоставления особой защиты уникальным районам земного шара, как на суше, так и на море.</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преемственность позволила диссертанту утверждать, что Соглашение 1985 г. является не просто хронологически вторым международным договором,</w:t>
      </w:r>
      <w:r>
        <w:rPr>
          <w:rStyle w:val="WW8Num3z0"/>
          <w:rFonts w:ascii="Verdana" w:hAnsi="Verdana"/>
          <w:color w:val="000000"/>
          <w:sz w:val="18"/>
          <w:szCs w:val="18"/>
        </w:rPr>
        <w:t> </w:t>
      </w:r>
      <w:r>
        <w:rPr>
          <w:rStyle w:val="WW8Num4z0"/>
          <w:rFonts w:ascii="Verdana" w:hAnsi="Verdana"/>
          <w:color w:val="4682B4"/>
          <w:sz w:val="18"/>
          <w:szCs w:val="18"/>
        </w:rPr>
        <w:t>закрепившим</w:t>
      </w:r>
      <w:r>
        <w:rPr>
          <w:rStyle w:val="WW8Num3z0"/>
          <w:rFonts w:ascii="Verdana" w:hAnsi="Verdana"/>
          <w:color w:val="000000"/>
          <w:sz w:val="18"/>
          <w:szCs w:val="18"/>
        </w:rPr>
        <w:t> </w:t>
      </w:r>
      <w:r>
        <w:rPr>
          <w:rFonts w:ascii="Verdana" w:hAnsi="Verdana"/>
          <w:color w:val="000000"/>
          <w:sz w:val="18"/>
          <w:szCs w:val="18"/>
        </w:rPr>
        <w:t>экосистемный подход, но и то, что оно продолжает сохранять свою актуальность и сегодня, в начале XXI в., хотя и не вступило в силу. Его положения отражают наиболее развитую идею сохранения и управления природными ресурсами.</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Выработанные экологической наукой подходы и принципы построения экосистем позволили диссертанту рассматривать регион Юго-Восточной Азии как единую экосистему, существованию которой наносит существенный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т.н. метод АСЕАН, в основе которого лежат принцип невмешательства во внутренние дела государств и принятие решений консенсусом.</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Обратим внимание на то, что «</w:t>
      </w:r>
      <w:r>
        <w:rPr>
          <w:rStyle w:val="WW8Num4z0"/>
          <w:rFonts w:ascii="Verdana" w:hAnsi="Verdana"/>
          <w:color w:val="4682B4"/>
          <w:sz w:val="18"/>
          <w:szCs w:val="18"/>
        </w:rPr>
        <w:t>метод АСЕАН</w:t>
      </w:r>
      <w:r>
        <w:rPr>
          <w:rFonts w:ascii="Verdana" w:hAnsi="Verdana"/>
          <w:color w:val="000000"/>
          <w:sz w:val="18"/>
          <w:szCs w:val="18"/>
        </w:rPr>
        <w:t>» в традиционном понимании некоторых государств-членов больше не совместим с применяемым Ассоциацией экосистемным подходом. «</w:t>
      </w:r>
      <w:r>
        <w:rPr>
          <w:rStyle w:val="WW8Num4z0"/>
          <w:rFonts w:ascii="Verdana" w:hAnsi="Verdana"/>
          <w:color w:val="4682B4"/>
          <w:sz w:val="18"/>
          <w:szCs w:val="18"/>
        </w:rPr>
        <w:t>Метод АСЕАН</w:t>
      </w:r>
      <w:r>
        <w:rPr>
          <w:rFonts w:ascii="Verdana" w:hAnsi="Verdana"/>
          <w:color w:val="000000"/>
          <w:sz w:val="18"/>
          <w:szCs w:val="18"/>
        </w:rPr>
        <w:t>» является главным фактором обеспечения стабильности и интеграции в регионе. Государства-члены АСЕАН не должны от него отказываться. Но для эффективного сотрудничества в сфере охраны окружающей среды «</w:t>
      </w:r>
      <w:r>
        <w:rPr>
          <w:rStyle w:val="WW8Num4z0"/>
          <w:rFonts w:ascii="Verdana" w:hAnsi="Verdana"/>
          <w:color w:val="4682B4"/>
          <w:sz w:val="18"/>
          <w:szCs w:val="18"/>
        </w:rPr>
        <w:t>метод АСЕАН</w:t>
      </w:r>
      <w:r>
        <w:rPr>
          <w:rFonts w:ascii="Verdana" w:hAnsi="Verdana"/>
          <w:color w:val="000000"/>
          <w:sz w:val="18"/>
          <w:szCs w:val="18"/>
        </w:rPr>
        <w:t>» необходимо модифицировать. Такая модификация прежде всего должна снять</w:t>
      </w:r>
      <w:r>
        <w:rPr>
          <w:rStyle w:val="WW8Num3z0"/>
          <w:rFonts w:ascii="Verdana" w:hAnsi="Verdana"/>
          <w:color w:val="000000"/>
          <w:sz w:val="18"/>
          <w:szCs w:val="18"/>
        </w:rPr>
        <w:t> </w:t>
      </w:r>
      <w:r>
        <w:rPr>
          <w:rStyle w:val="WW8Num4z0"/>
          <w:rFonts w:ascii="Verdana" w:hAnsi="Verdana"/>
          <w:color w:val="4682B4"/>
          <w:sz w:val="18"/>
          <w:szCs w:val="18"/>
        </w:rPr>
        <w:t>заперт</w:t>
      </w:r>
      <w:r>
        <w:rPr>
          <w:rStyle w:val="WW8Num3z0"/>
          <w:rFonts w:ascii="Verdana" w:hAnsi="Verdana"/>
          <w:color w:val="000000"/>
          <w:sz w:val="18"/>
          <w:szCs w:val="18"/>
        </w:rPr>
        <w:t> </w:t>
      </w:r>
      <w:r>
        <w:rPr>
          <w:rFonts w:ascii="Verdana" w:hAnsi="Verdana"/>
          <w:color w:val="000000"/>
          <w:sz w:val="18"/>
          <w:szCs w:val="18"/>
        </w:rPr>
        <w:t>на обсуждение экологических проблем как внутренних. Характерное для «</w:t>
      </w:r>
      <w:r>
        <w:rPr>
          <w:rStyle w:val="WW8Num4z0"/>
          <w:rFonts w:ascii="Verdana" w:hAnsi="Verdana"/>
          <w:color w:val="4682B4"/>
          <w:sz w:val="18"/>
          <w:szCs w:val="18"/>
        </w:rPr>
        <w:t>метода АСЕАН</w:t>
      </w:r>
      <w:r>
        <w:rPr>
          <w:rFonts w:ascii="Verdana" w:hAnsi="Verdana"/>
          <w:color w:val="000000"/>
          <w:sz w:val="18"/>
          <w:szCs w:val="18"/>
        </w:rPr>
        <w:t>» «</w:t>
      </w:r>
      <w:r>
        <w:rPr>
          <w:rStyle w:val="WW8Num4z0"/>
          <w:rFonts w:ascii="Verdana" w:hAnsi="Verdana"/>
          <w:color w:val="4682B4"/>
          <w:sz w:val="18"/>
          <w:szCs w:val="18"/>
        </w:rPr>
        <w:t>мягкое</w:t>
      </w:r>
      <w:r>
        <w:rPr>
          <w:rFonts w:ascii="Verdana" w:hAnsi="Verdana"/>
          <w:color w:val="000000"/>
          <w:sz w:val="18"/>
          <w:szCs w:val="18"/>
        </w:rPr>
        <w:t>» право в сфере охраны окружающей среды должно постепенно трансформироваться в «</w:t>
      </w:r>
      <w:r>
        <w:rPr>
          <w:rStyle w:val="WW8Num4z0"/>
          <w:rFonts w:ascii="Verdana" w:hAnsi="Verdana"/>
          <w:color w:val="4682B4"/>
          <w:sz w:val="18"/>
          <w:szCs w:val="18"/>
        </w:rPr>
        <w:t>твердое</w:t>
      </w:r>
      <w:r>
        <w:rPr>
          <w:rFonts w:ascii="Verdana" w:hAnsi="Verdana"/>
          <w:color w:val="000000"/>
          <w:sz w:val="18"/>
          <w:szCs w:val="18"/>
        </w:rPr>
        <w:t>» право с эффективным механизмом воплощения его норм в жизнь. Лишь таким образом может быть реализована концепция экосистемного управления.</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международно-правовом регулировании защиты окружающей среды в АСЕАН преобладают источники «</w:t>
      </w:r>
      <w:r>
        <w:rPr>
          <w:rStyle w:val="WW8Num4z0"/>
          <w:rFonts w:ascii="Verdana" w:hAnsi="Verdana"/>
          <w:color w:val="4682B4"/>
          <w:sz w:val="18"/>
          <w:szCs w:val="18"/>
        </w:rPr>
        <w:t>мягкого</w:t>
      </w:r>
      <w:r>
        <w:rPr>
          <w:rFonts w:ascii="Verdana" w:hAnsi="Verdana"/>
          <w:color w:val="000000"/>
          <w:sz w:val="18"/>
          <w:szCs w:val="18"/>
        </w:rPr>
        <w:t>» права, которые на первоначальном этапе позволяют создать гибкий механизм сотрудничества. В перспективе для повышения эффективности природоохранной деятельности Ассоциации эти источники «</w:t>
      </w:r>
      <w:r>
        <w:rPr>
          <w:rStyle w:val="WW8Num4z0"/>
          <w:rFonts w:ascii="Verdana" w:hAnsi="Verdana"/>
          <w:color w:val="4682B4"/>
          <w:sz w:val="18"/>
          <w:szCs w:val="18"/>
        </w:rPr>
        <w:t>мягкого</w:t>
      </w:r>
      <w:r>
        <w:rPr>
          <w:rFonts w:ascii="Verdana" w:hAnsi="Verdana"/>
          <w:color w:val="000000"/>
          <w:sz w:val="18"/>
          <w:szCs w:val="18"/>
        </w:rPr>
        <w:t>» права должны постепенно трансформироваться в</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формы с эффективным механизмом воплощения его норм в жизнь.</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Анализ истории формирования концепции парков наследия АСЕАН с 1977 г. позволил диссертанту сделать вывод о принципиальных различиях между парками наследия АСЕАН, как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и территориями всемирного наследия. Если парки наследия АСЕАН являются типичными и самыми лучшими примерами их видов в регионе, то территории всемирного наследия имеют специальный и необыкновенный характер. Парки наследия АСЕАН не должны рассматриваться как второстепенные по отношению к территориям всемирного наследия, и не должно быть никакого противоречия между этими двумя категориями международного признания.</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При этом парки наследия АСЕАН должны соответствовать ряду критериев, основными из которых являются: экологическая полнота; репрезентативность; естественность; высокое </w:t>
      </w:r>
      <w:r>
        <w:rPr>
          <w:rFonts w:ascii="Verdana" w:hAnsi="Verdana"/>
          <w:color w:val="000000"/>
          <w:sz w:val="18"/>
          <w:szCs w:val="18"/>
        </w:rPr>
        <w:lastRenderedPageBreak/>
        <w:t>природоохранное значение; трансгранич-ность; уникальность и высокое этно-биологическое значение.</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Выявив существующую в настоящее время в АСЕАН вертикаль управления парками наследия (Комитет, Секретариат, Центр биоразнообразия), диссертант предлагает в отношении всех видов, имеющихся в АСЕАН, парков наследия (природный парк, природный резерват, культурная территория, доисторическая территория, парки Мира) принять региональную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АСЕАН по паркам наследия, в рамках которой предусмотреть учреждение отдельной управленческой институциональной структуры.</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Правовую основу борьбы стран-членов АСЕАН с трансграничным переносом дымового загрязнения в настоящее время составляют только нормы «</w:t>
      </w:r>
      <w:r>
        <w:rPr>
          <w:rStyle w:val="WW8Num4z0"/>
          <w:rFonts w:ascii="Verdana" w:hAnsi="Verdana"/>
          <w:color w:val="4682B4"/>
          <w:sz w:val="18"/>
          <w:szCs w:val="18"/>
        </w:rPr>
        <w:t>мягкого</w:t>
      </w:r>
      <w:r>
        <w:rPr>
          <w:rFonts w:ascii="Verdana" w:hAnsi="Verdana"/>
          <w:color w:val="000000"/>
          <w:sz w:val="18"/>
          <w:szCs w:val="18"/>
        </w:rPr>
        <w:t>» права. Именно в этом, а также в «</w:t>
      </w:r>
      <w:r>
        <w:rPr>
          <w:rStyle w:val="WW8Num4z0"/>
          <w:rFonts w:ascii="Verdana" w:hAnsi="Verdana"/>
          <w:color w:val="4682B4"/>
          <w:sz w:val="18"/>
          <w:szCs w:val="18"/>
        </w:rPr>
        <w:t>методе</w:t>
      </w:r>
      <w:r>
        <w:rPr>
          <w:rFonts w:ascii="Verdana" w:hAnsi="Verdana"/>
          <w:color w:val="000000"/>
          <w:sz w:val="18"/>
          <w:szCs w:val="18"/>
        </w:rPr>
        <w:t>» АСЕАН кроются недостатки правовой и институциональной системы АСЕАН по борьбе с трансграничным переносом дымового загрязнения. Региональные и субрегиональные правовые инструменты совместного реагирования на лесные и дымовые чрезвычайные ситуации являются лишь демонстрацией намерений. Они не содержат никаких оперативных планов или обязательств предпринимать конкретные шаги. Именно поэтому, несмотря на то, что АСЕАН обладает широким спектром эколого-правовых инструментов в этой сфере, опасность лесных пожаров и дымового загрязнения сохраняется и даже усиливается.</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 этом вопросе придерживается мнения о необходимости разработки и принятия Рамочной конвенции АСЕАН по трансграничному загрязнению, которую могли бы дополнить составляющие неотъемлемое единство с ней протоколы по отдельным более узким вопросам, как то морское загрязнение, дымовое загрязнение и т.д.</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Констатируя, что практика государств-членов АСЕАН пошла по другому пути и в 2002 г. было принято Соглашение о трансграничном переносе дымового загрязнения, диссертант со ссылками на Конвенцию</w:t>
      </w:r>
      <w:r>
        <w:rPr>
          <w:rStyle w:val="WW8Num3z0"/>
          <w:rFonts w:ascii="Verdana" w:hAnsi="Verdana"/>
          <w:color w:val="000000"/>
          <w:sz w:val="18"/>
          <w:szCs w:val="18"/>
        </w:rPr>
        <w:t> </w:t>
      </w:r>
      <w:r>
        <w:rPr>
          <w:rStyle w:val="WW8Num4z0"/>
          <w:rFonts w:ascii="Verdana" w:hAnsi="Verdana"/>
          <w:color w:val="4682B4"/>
          <w:sz w:val="18"/>
          <w:szCs w:val="18"/>
        </w:rPr>
        <w:t>ЕЭК</w:t>
      </w:r>
      <w:r>
        <w:rPr>
          <w:rStyle w:val="WW8Num3z0"/>
          <w:rFonts w:ascii="Verdana" w:hAnsi="Verdana"/>
          <w:color w:val="000000"/>
          <w:sz w:val="18"/>
          <w:szCs w:val="18"/>
        </w:rPr>
        <w:t> </w:t>
      </w:r>
      <w:r>
        <w:rPr>
          <w:rFonts w:ascii="Verdana" w:hAnsi="Verdana"/>
          <w:color w:val="000000"/>
          <w:sz w:val="18"/>
          <w:szCs w:val="18"/>
        </w:rPr>
        <w:t>ООН о трансграничном загрязнении воздуха на большие расстояния 1979 г. и один из ее протоколов о долгосрочном финансировании совместной программы наблюдения и оценки распространения загрязнителей воздуха предлагает ряд мер по усилению тех частей соглашения, которые касаются финансовых вопросов и функционирования фонда. Это, прежде всего касается института обязательных взносов и шкалы обязательных взносов сторон в соответствии с их финансовыми возможностями, научно-техническим развитием и, самое главное, - последствиями, которые лесные пожары и трансграничный перенос дымового загрязнения имеют в пределах их территории.</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Анализ ряда положений международных энергетических договоров, заключенных в рамках АСЕАН, позволяет говорить о том, что защита окружающей среды является одним из приоритетов энергетического сотрудничества в рамках АСЕАН. Для достижения целей устойчивого развития на базе этих двух опор странам АСЕАН можно порекомендовать принять Меморандум АСЕАН о безопасном развитии атомной энергетики, на базе которого будут приниматься региональные соглашения по данному направлению.</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Высоко оценивая факт создания и успешного функционирования Центра АСЕАН по биологическому разнообразию, диссертант предлагает в рамках других региональных структур учредить успешно зарекомендовавшую себя сеть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государств-членов АСЕАН по защите дикой природы (АСЕАН-ВЕН), что может существенно повысить эффективность применения СИТЕС.</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Опираясь на положительный опыт применения Модельного закона Совета Европы о комплексном прибрежном управлении 1998 г., диссертант предлагает принять аналогичный закон в рамках АСЕАН, что позволит скоординировать и сгармонизировать на основе международного права и национального законодательства деятельность различных пользователей прибрежной зоны.</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Содержащиеся в диссертации материалы и выводы позволяют расширить имеющуюся теоретическую базу исследований по вопросам защиты окружающей среды и интеграции в рамках АСЕАН. Они могут иметь также и практическое значение.</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 исследования могут быть использованы при формулировании предложений по совершенствованию международно-правовых основ защиты окружающей среды в рамках АСЕАН, роль которой в разрешении глобальных и региональных экологических проблем возрастает.</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связанные с улучшением организационно-правового механизма АСЕАН в области защиты окружающей среды, могут быть использованы в научно-исследовательской работе и при преподавании таких дисциплин, как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Право международных организаций</w:t>
      </w:r>
      <w:r>
        <w:rPr>
          <w:rFonts w:ascii="Verdana" w:hAnsi="Verdana"/>
          <w:color w:val="000000"/>
          <w:sz w:val="18"/>
          <w:szCs w:val="18"/>
        </w:rPr>
        <w:t>», «</w:t>
      </w:r>
      <w:r>
        <w:rPr>
          <w:rStyle w:val="WW8Num4z0"/>
          <w:rFonts w:ascii="Verdana" w:hAnsi="Verdana"/>
          <w:color w:val="4682B4"/>
          <w:sz w:val="18"/>
          <w:szCs w:val="18"/>
        </w:rPr>
        <w:t>Право международных договоров</w:t>
      </w:r>
      <w:r>
        <w:rPr>
          <w:rFonts w:ascii="Verdana" w:hAnsi="Verdana"/>
          <w:color w:val="000000"/>
          <w:sz w:val="18"/>
          <w:szCs w:val="18"/>
        </w:rPr>
        <w:t>», «</w:t>
      </w:r>
      <w:r>
        <w:rPr>
          <w:rStyle w:val="WW8Num4z0"/>
          <w:rFonts w:ascii="Verdana" w:hAnsi="Verdana"/>
          <w:color w:val="4682B4"/>
          <w:sz w:val="18"/>
          <w:szCs w:val="18"/>
        </w:rPr>
        <w:t>Международное экологическое право</w:t>
      </w:r>
      <w:r>
        <w:rPr>
          <w:rFonts w:ascii="Verdana" w:hAnsi="Verdana"/>
          <w:color w:val="000000"/>
          <w:sz w:val="18"/>
          <w:szCs w:val="18"/>
        </w:rPr>
        <w:t>», «</w:t>
      </w:r>
      <w:r>
        <w:rPr>
          <w:rStyle w:val="WW8Num4z0"/>
          <w:rFonts w:ascii="Verdana" w:hAnsi="Verdana"/>
          <w:color w:val="4682B4"/>
          <w:sz w:val="18"/>
          <w:szCs w:val="18"/>
        </w:rPr>
        <w:t>Актуальные проблемы международного права</w:t>
      </w:r>
      <w:r>
        <w:rPr>
          <w:rFonts w:ascii="Verdana" w:hAnsi="Verdana"/>
          <w:color w:val="000000"/>
          <w:sz w:val="18"/>
          <w:szCs w:val="18"/>
        </w:rPr>
        <w:t>».</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и обсуждена на кафедре международного права юридического факультета Российского университета дружбы народов.</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отражены в одной монографии, в одном учебнике (в соавторстве), и в 14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из которых 3 - в рецензируемых изданиях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общим объемом 4,72 п.л. Они также излагались в докладах на различных конференциях, в том числе на ежегодных традиционных научно-практических конференциях «</w:t>
      </w:r>
      <w:r>
        <w:rPr>
          <w:rStyle w:val="WW8Num4z0"/>
          <w:rFonts w:ascii="Verdana" w:hAnsi="Verdana"/>
          <w:color w:val="4682B4"/>
          <w:sz w:val="18"/>
          <w:szCs w:val="18"/>
        </w:rPr>
        <w:t>Актуальные проблемы современного международного права</w:t>
      </w:r>
      <w:r>
        <w:rPr>
          <w:rFonts w:ascii="Verdana" w:hAnsi="Verdana"/>
          <w:color w:val="000000"/>
          <w:sz w:val="18"/>
          <w:szCs w:val="18"/>
        </w:rPr>
        <w:t>», проводимых кафедрой международного права юридического факультета РУДН.</w:t>
      </w:r>
    </w:p>
    <w:p w:rsidR="00963B20" w:rsidRDefault="00963B20" w:rsidP="00963B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использовались в рамках проведения научно-педагогической практики на юридическом факультете Российского университета дружбы народов по следующим дисциплинам: «</w:t>
      </w:r>
      <w:r>
        <w:rPr>
          <w:rStyle w:val="WW8Num4z0"/>
          <w:rFonts w:ascii="Verdana" w:hAnsi="Verdana"/>
          <w:color w:val="4682B4"/>
          <w:sz w:val="18"/>
          <w:szCs w:val="18"/>
        </w:rPr>
        <w:t>Международное публичное право</w:t>
      </w:r>
      <w:r>
        <w:rPr>
          <w:rFonts w:ascii="Verdana" w:hAnsi="Verdana"/>
          <w:color w:val="000000"/>
          <w:sz w:val="18"/>
          <w:szCs w:val="18"/>
        </w:rPr>
        <w:t>», «</w:t>
      </w:r>
      <w:r>
        <w:rPr>
          <w:rStyle w:val="WW8Num4z0"/>
          <w:rFonts w:ascii="Verdana" w:hAnsi="Verdana"/>
          <w:color w:val="4682B4"/>
          <w:sz w:val="18"/>
          <w:szCs w:val="18"/>
        </w:rPr>
        <w:t>Актуальные проблемы международного права</w:t>
      </w:r>
      <w:r>
        <w:rPr>
          <w:rFonts w:ascii="Verdana" w:hAnsi="Verdana"/>
          <w:color w:val="000000"/>
          <w:sz w:val="18"/>
          <w:szCs w:val="18"/>
        </w:rPr>
        <w:t>», «</w:t>
      </w:r>
      <w:r>
        <w:rPr>
          <w:rStyle w:val="WW8Num4z0"/>
          <w:rFonts w:ascii="Verdana" w:hAnsi="Verdana"/>
          <w:color w:val="4682B4"/>
          <w:sz w:val="18"/>
          <w:szCs w:val="18"/>
        </w:rPr>
        <w:t>Международное экологическое право</w:t>
      </w:r>
      <w:r>
        <w:rPr>
          <w:rFonts w:ascii="Verdana" w:hAnsi="Verdana"/>
          <w:color w:val="000000"/>
          <w:sz w:val="18"/>
          <w:szCs w:val="18"/>
        </w:rPr>
        <w:t>».</w:t>
      </w:r>
    </w:p>
    <w:p w:rsidR="00963B20" w:rsidRDefault="00963B20" w:rsidP="00963B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объектом, целью и задачами исследования. Работа состоит из введения, трех глав, подразделяющихся на параграфы, заключения и списка использованных документов и литературы.</w:t>
      </w:r>
    </w:p>
    <w:p w:rsidR="00963B20" w:rsidRDefault="00963B20" w:rsidP="00672998">
      <w:pPr>
        <w:widowControl w:val="0"/>
        <w:spacing w:line="259" w:lineRule="auto"/>
        <w:ind w:firstLine="567"/>
        <w:jc w:val="both"/>
        <w:rPr>
          <w:rFonts w:ascii="Verdana" w:hAnsi="Verdana"/>
          <w:color w:val="000000"/>
          <w:sz w:val="18"/>
          <w:szCs w:val="18"/>
        </w:rPr>
      </w:pPr>
      <w:r>
        <w:rPr>
          <w:rFonts w:ascii="Verdana" w:hAnsi="Verdana"/>
          <w:color w:val="000000"/>
          <w:sz w:val="18"/>
          <w:szCs w:val="18"/>
        </w:rPr>
        <w:br/>
      </w:r>
    </w:p>
    <w:p w:rsidR="00963B20" w:rsidRDefault="00963B20" w:rsidP="00672998">
      <w:pPr>
        <w:widowControl w:val="0"/>
        <w:spacing w:line="259" w:lineRule="auto"/>
        <w:ind w:firstLine="567"/>
        <w:jc w:val="both"/>
        <w:rPr>
          <w:rFonts w:ascii="Verdana" w:hAnsi="Verdana"/>
          <w:color w:val="000000"/>
          <w:sz w:val="18"/>
          <w:szCs w:val="18"/>
        </w:rPr>
      </w:pPr>
      <w:bookmarkStart w:id="0" w:name="_GoBack"/>
      <w:bookmarkEnd w:id="0"/>
    </w:p>
    <w:p w:rsidR="00963B20" w:rsidRDefault="00963B20" w:rsidP="00672998">
      <w:pPr>
        <w:widowControl w:val="0"/>
        <w:spacing w:line="259" w:lineRule="auto"/>
        <w:ind w:firstLine="567"/>
        <w:jc w:val="both"/>
        <w:rPr>
          <w:rFonts w:ascii="Verdana" w:hAnsi="Verdana"/>
          <w:color w:val="000000"/>
          <w:sz w:val="18"/>
          <w:szCs w:val="18"/>
        </w:rPr>
      </w:pPr>
    </w:p>
    <w:p w:rsidR="00963B20" w:rsidRDefault="00963B20" w:rsidP="00672998">
      <w:pPr>
        <w:widowControl w:val="0"/>
        <w:spacing w:line="259" w:lineRule="auto"/>
        <w:ind w:firstLine="567"/>
        <w:jc w:val="both"/>
        <w:rPr>
          <w:rFonts w:ascii="Verdana" w:hAnsi="Verdana"/>
          <w:color w:val="000000"/>
          <w:sz w:val="18"/>
          <w:szCs w:val="18"/>
        </w:rPr>
      </w:pPr>
    </w:p>
    <w:p w:rsidR="00963B20" w:rsidRPr="00672998" w:rsidRDefault="00963B20" w:rsidP="00672998">
      <w:pPr>
        <w:widowControl w:val="0"/>
        <w:spacing w:line="259" w:lineRule="auto"/>
        <w:ind w:firstLine="567"/>
        <w:jc w:val="both"/>
        <w:rPr>
          <w:rFonts w:cs="Times New Roman CYR"/>
          <w:sz w:val="28"/>
          <w:szCs w:val="2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65" w:rsidRDefault="002F4565">
      <w:r>
        <w:separator/>
      </w:r>
    </w:p>
  </w:endnote>
  <w:endnote w:type="continuationSeparator" w:id="0">
    <w:p w:rsidR="002F4565" w:rsidRDefault="002F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65" w:rsidRDefault="002F4565">
      <w:r>
        <w:separator/>
      </w:r>
    </w:p>
  </w:footnote>
  <w:footnote w:type="continuationSeparator" w:id="0">
    <w:p w:rsidR="002F4565" w:rsidRDefault="002F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2F4565"/>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E303-56CB-443F-938A-EE58D817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6509</TotalTime>
  <Pages>13</Pages>
  <Words>7469</Words>
  <Characters>42576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1546</cp:revision>
  <cp:lastPrinted>2009-02-06T08:36:00Z</cp:lastPrinted>
  <dcterms:created xsi:type="dcterms:W3CDTF">2015-03-22T11:10:00Z</dcterms:created>
  <dcterms:modified xsi:type="dcterms:W3CDTF">2015-09-14T06:45:00Z</dcterms:modified>
</cp:coreProperties>
</file>