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DAAAE92" w:rsidR="00FC58E6" w:rsidRPr="002A5896" w:rsidRDefault="002A5896" w:rsidP="002A5896">
      <w:r>
        <w:rPr>
          <w:rFonts w:ascii="Verdana" w:hAnsi="Verdana"/>
          <w:b/>
          <w:bCs/>
          <w:color w:val="000000"/>
          <w:shd w:val="clear" w:color="auto" w:fill="FFFFFF"/>
        </w:rPr>
        <w:t>Камаль Оман Нуман. Діагностика та прогнозування перебігу гладком'язових пухлин матки в залежності від стану ендометрія.- Дисертація канд. мед. наук: 14.01.01, Вінниц. нац. мед. ун-т ім. М. І. Пирогова. - Вінниця, 2013.- 200 с. : рис.</w:t>
      </w:r>
    </w:p>
    <w:sectPr w:rsidR="00FC58E6" w:rsidRPr="002A5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D9E6" w14:textId="77777777" w:rsidR="00091F2A" w:rsidRDefault="00091F2A">
      <w:pPr>
        <w:spacing w:after="0" w:line="240" w:lineRule="auto"/>
      </w:pPr>
      <w:r>
        <w:separator/>
      </w:r>
    </w:p>
  </w:endnote>
  <w:endnote w:type="continuationSeparator" w:id="0">
    <w:p w14:paraId="1A731E9E" w14:textId="77777777" w:rsidR="00091F2A" w:rsidRDefault="0009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2AB2" w14:textId="77777777" w:rsidR="00091F2A" w:rsidRDefault="00091F2A">
      <w:pPr>
        <w:spacing w:after="0" w:line="240" w:lineRule="auto"/>
      </w:pPr>
      <w:r>
        <w:separator/>
      </w:r>
    </w:p>
  </w:footnote>
  <w:footnote w:type="continuationSeparator" w:id="0">
    <w:p w14:paraId="55A99CD1" w14:textId="77777777" w:rsidR="00091F2A" w:rsidRDefault="0009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2A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1759</cp:revision>
  <dcterms:created xsi:type="dcterms:W3CDTF">2024-06-20T08:51:00Z</dcterms:created>
  <dcterms:modified xsi:type="dcterms:W3CDTF">2024-12-27T14:48:00Z</dcterms:modified>
  <cp:category/>
</cp:coreProperties>
</file>