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038234B0" w:rsidR="00AB2F2F" w:rsidRPr="006012CE" w:rsidRDefault="006012CE" w:rsidP="006012CE">
      <w:r>
        <w:rPr>
          <w:rFonts w:ascii="Verdana" w:hAnsi="Verdana"/>
          <w:b/>
          <w:bCs/>
          <w:color w:val="000000"/>
          <w:shd w:val="clear" w:color="auto" w:fill="FFFFFF"/>
        </w:rPr>
        <w:t>Гаєвський Володимир Юрійович. Особливості імунопатогенезу хронічного поліпозного риносинуситу в залежності від впливу провідних етіологічних факторів: генетичних, інфекційних, алергічних.- Дисертація канд. мед. наук: 14.03.04, Держ. вищ. навч. закл. "Терноп. держ. мед. ун-т ім. І. Я. Горбачевського М-ва охорони здоров'я України". - Т., 2013.- 200 с.</w:t>
      </w:r>
    </w:p>
    <w:sectPr w:rsidR="00AB2F2F" w:rsidRPr="006012C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9BC5A" w14:textId="77777777" w:rsidR="00FF5AD3" w:rsidRDefault="00FF5AD3">
      <w:pPr>
        <w:spacing w:after="0" w:line="240" w:lineRule="auto"/>
      </w:pPr>
      <w:r>
        <w:separator/>
      </w:r>
    </w:p>
  </w:endnote>
  <w:endnote w:type="continuationSeparator" w:id="0">
    <w:p w14:paraId="503941D0" w14:textId="77777777" w:rsidR="00FF5AD3" w:rsidRDefault="00FF5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B99B5" w14:textId="77777777" w:rsidR="00FF5AD3" w:rsidRDefault="00FF5AD3">
      <w:pPr>
        <w:spacing w:after="0" w:line="240" w:lineRule="auto"/>
      </w:pPr>
      <w:r>
        <w:separator/>
      </w:r>
    </w:p>
  </w:footnote>
  <w:footnote w:type="continuationSeparator" w:id="0">
    <w:p w14:paraId="2109B15E" w14:textId="77777777" w:rsidR="00FF5AD3" w:rsidRDefault="00FF5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F5AD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D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131325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6591</cp:revision>
  <dcterms:created xsi:type="dcterms:W3CDTF">2024-06-20T08:51:00Z</dcterms:created>
  <dcterms:modified xsi:type="dcterms:W3CDTF">2025-01-31T18:41:00Z</dcterms:modified>
  <cp:category/>
</cp:coreProperties>
</file>