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571A" w14:textId="3A89C53A" w:rsidR="00362C68" w:rsidRDefault="007B5DAB" w:rsidP="007B5DAB">
      <w:pPr>
        <w:rPr>
          <w:rFonts w:ascii="Verdana" w:hAnsi="Verdana"/>
          <w:b/>
          <w:bCs/>
          <w:color w:val="000000"/>
          <w:shd w:val="clear" w:color="auto" w:fill="FFFFFF"/>
        </w:rPr>
      </w:pPr>
      <w:r>
        <w:rPr>
          <w:rFonts w:ascii="Verdana" w:hAnsi="Verdana"/>
          <w:b/>
          <w:bCs/>
          <w:color w:val="000000"/>
          <w:shd w:val="clear" w:color="auto" w:fill="FFFFFF"/>
        </w:rPr>
        <w:t xml:space="preserve">Плоскіна Василь Юрійович. Особливості диференційованого призначення препаратів жовчних кислот у комплексному етапному лікуванні захворювань жовчного міхура, що супроводжуються порушенням колоїдної стабільності жовчі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5DAB" w:rsidRPr="007B5DAB" w14:paraId="5FE1850D" w14:textId="77777777" w:rsidTr="007B5D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DAB" w:rsidRPr="007B5DAB" w14:paraId="49B44A7F" w14:textId="77777777">
              <w:trPr>
                <w:tblCellSpacing w:w="0" w:type="dxa"/>
              </w:trPr>
              <w:tc>
                <w:tcPr>
                  <w:tcW w:w="0" w:type="auto"/>
                  <w:vAlign w:val="center"/>
                  <w:hideMark/>
                </w:tcPr>
                <w:p w14:paraId="5293E19D"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b/>
                      <w:bCs/>
                      <w:sz w:val="24"/>
                      <w:szCs w:val="24"/>
                    </w:rPr>
                    <w:lastRenderedPageBreak/>
                    <w:t>Плоскіна В.Ю. Особливості диференційованого призначення препаратів жовчних кислот у комплексному етапному лікуванні захворювань жовчного міхура, що супроводжуються порушенням колоїдної стабільності жовчі.</w:t>
                  </w:r>
                  <w:r w:rsidRPr="007B5DAB">
                    <w:rPr>
                      <w:rFonts w:ascii="Times New Roman" w:eastAsia="Times New Roman" w:hAnsi="Times New Roman" w:cs="Times New Roman"/>
                      <w:sz w:val="24"/>
                      <w:szCs w:val="24"/>
                    </w:rPr>
                    <w:t> – Рукопис.</w:t>
                  </w:r>
                </w:p>
                <w:p w14:paraId="0E4317E2"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Івано-Франківська державна медична академія; Івано-Франківськ, 2005.</w:t>
                  </w:r>
                </w:p>
                <w:p w14:paraId="3EF7F665"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В дисертації показано, що призначення препаратів жовчних кислот у комплексній терапії хронічного холециститу, холестеринового холелітіазу, хронічного токсичного гепатиту з вираженим холестатичним компонентом приводить до покращення загального стану, регресу патологічних клініко-лабораторних показників у близько 80% пацієнтів. Доведено, що для лікування хворих на холестериновий холелітіаз з малим розміром каміння та нетривалим анамнезом ефективним є короткострокове призначення препаратів жовчних кислот (менше 3 місяців). З‘ясовано, що нормалізація рН шлунка повинна використовуватись в лікувальній тактиці як патогенетичний засіб керування роботою системи печінка-жовчовивідні шляхи-дванадцятипала кишка. Доведено, що особливості функціонування вищої нервової діяльності людини відіграють важливу роль в розвитку захворювань гепатобіліарної системи, але цей фактор не є специфічним. Встановлено, що фотодинамічна діагностика є ефективним засобом раннього виявлення диспластичних процесів у ШКТ. Курсовий прийом мінеральної води “Лужанська-7” є добрим природнім протирецидивним засобом у комплексній терапії жовчними кислотами.</w:t>
                  </w:r>
                </w:p>
              </w:tc>
            </w:tr>
          </w:tbl>
          <w:p w14:paraId="249AC0C1" w14:textId="77777777" w:rsidR="007B5DAB" w:rsidRPr="007B5DAB" w:rsidRDefault="007B5DAB" w:rsidP="007B5DAB">
            <w:pPr>
              <w:spacing w:after="0" w:line="240" w:lineRule="auto"/>
              <w:rPr>
                <w:rFonts w:ascii="Times New Roman" w:eastAsia="Times New Roman" w:hAnsi="Times New Roman" w:cs="Times New Roman"/>
                <w:sz w:val="24"/>
                <w:szCs w:val="24"/>
              </w:rPr>
            </w:pPr>
          </w:p>
        </w:tc>
      </w:tr>
      <w:tr w:rsidR="007B5DAB" w:rsidRPr="007B5DAB" w14:paraId="4B8CA784" w14:textId="77777777" w:rsidTr="007B5D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DAB" w:rsidRPr="007B5DAB" w14:paraId="59101B16" w14:textId="77777777">
              <w:trPr>
                <w:tblCellSpacing w:w="0" w:type="dxa"/>
              </w:trPr>
              <w:tc>
                <w:tcPr>
                  <w:tcW w:w="0" w:type="auto"/>
                  <w:vAlign w:val="center"/>
                  <w:hideMark/>
                </w:tcPr>
                <w:p w14:paraId="69BA34DD"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У дисертаційній роботі представлено і дістало подальший розвиток питання про роль урсодезоксихолевої та хенодезоксихолевої кислот в етапній санації хворих на хронічний холецистит, холестериновий холелітіаз у взаємозв’язку з показниками кислотопродукції та кислотонейтралізації, наявності Нр інфекції, психологічними особливостями особистості та даними фотодинамічної лазерної діагностики. На основі цього розроблено диференційований підхід до комплексного лікування хронічного холециститу та холестеринового холелітіазу з використанням жовчних кислот, що в сукупності вирішує конкретне завдання гастроентерології і має істотне значення в галузі медицини.</w:t>
                  </w:r>
                </w:p>
                <w:p w14:paraId="278AE6C4"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1. Доведено, що призначення препаратів жовчних кислот з використанням мінеральної води „Лужанська-7” у комплексній терапії хронічного холециститу, холестеринового холелітіазу, хронічного токсичного гепатиту з вираженим холестатичним компонентом знижує літогенність жовчі, попереджує утворення і розчиняє конкременти, приводить до покращення загального стану, регресу патологічних клініко-лабораторних показників більше як у 2/3 пацієнтів.</w:t>
                  </w:r>
                </w:p>
                <w:p w14:paraId="16C3B6EF"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2. Включення препаратів жовчних кислот у комплексне лікування захворювань жовчного міхура та печінки з порушенням колоїдної стабільності жовчі в поєднанні з аспірином, ловастатином підвищує ефективність курсового лікування хворих за рахунок корекції показників рН жовчі, гіпохолестеринемічної дії, особливо у хворих з наявністю симптомів запалення та порушенням ліпідного обміну.</w:t>
                  </w:r>
                </w:p>
                <w:p w14:paraId="6D4DBE78"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3. Доведено, що кислотоутворювальна функція залоз шлунка має чітку залежність від Нр інфекції та не залежить від фази основного захворювання. Нр інфекція виявляється у 66,7% хворих на хронічний холецистит та холестериновий холелітіаз з високою шлунковою секрецією, а призначення ерадикаційної терапії підвищує ефективність лікування таких хворих.</w:t>
                  </w:r>
                </w:p>
                <w:p w14:paraId="5A910504"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lastRenderedPageBreak/>
                    <w:t>4. Фотодинамічна діагностика є ефективним методом діагностики диспластичних процесів слизової шлунково-кишкового тракту, які супроводжуються змінами пристінкової рН по осі стравохід-шлунок-кишечник і виявляються в 23% хворих на хронічний холецистит та холестериновий холелітіаз.</w:t>
                  </w:r>
                </w:p>
                <w:p w14:paraId="087A5B60" w14:textId="77777777" w:rsidR="007B5DAB" w:rsidRPr="007B5DAB" w:rsidRDefault="007B5DAB" w:rsidP="007B5D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AB">
                    <w:rPr>
                      <w:rFonts w:ascii="Times New Roman" w:eastAsia="Times New Roman" w:hAnsi="Times New Roman" w:cs="Times New Roman"/>
                      <w:sz w:val="24"/>
                      <w:szCs w:val="24"/>
                    </w:rPr>
                    <w:t>5. Для хворих з патологією жовчного міхура характерною є пряма залежність між ступенем вираженості змін у шкалах ММРІ та клінічною картиною захворювання. Комплексне призначення еглонілу та жовчних кислот сприяє покращенню психологічних та психопатологічних особливостей хворих на хронічний холецистит та холестериновий холелітіаз із підвищеною кислотоутворюючою функцією залоз шлунка.</w:t>
                  </w:r>
                </w:p>
              </w:tc>
            </w:tr>
          </w:tbl>
          <w:p w14:paraId="59EBF115" w14:textId="77777777" w:rsidR="007B5DAB" w:rsidRPr="007B5DAB" w:rsidRDefault="007B5DAB" w:rsidP="007B5DAB">
            <w:pPr>
              <w:spacing w:after="0" w:line="240" w:lineRule="auto"/>
              <w:rPr>
                <w:rFonts w:ascii="Times New Roman" w:eastAsia="Times New Roman" w:hAnsi="Times New Roman" w:cs="Times New Roman"/>
                <w:sz w:val="24"/>
                <w:szCs w:val="24"/>
              </w:rPr>
            </w:pPr>
          </w:p>
        </w:tc>
      </w:tr>
    </w:tbl>
    <w:p w14:paraId="14AE2C05" w14:textId="77777777" w:rsidR="007B5DAB" w:rsidRPr="007B5DAB" w:rsidRDefault="007B5DAB" w:rsidP="007B5DAB"/>
    <w:sectPr w:rsidR="007B5DAB" w:rsidRPr="007B5D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0EBA" w14:textId="77777777" w:rsidR="00A60E67" w:rsidRDefault="00A60E67">
      <w:pPr>
        <w:spacing w:after="0" w:line="240" w:lineRule="auto"/>
      </w:pPr>
      <w:r>
        <w:separator/>
      </w:r>
    </w:p>
  </w:endnote>
  <w:endnote w:type="continuationSeparator" w:id="0">
    <w:p w14:paraId="3EFF84C1" w14:textId="77777777" w:rsidR="00A60E67" w:rsidRDefault="00A6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9317" w14:textId="77777777" w:rsidR="00A60E67" w:rsidRDefault="00A60E67">
      <w:pPr>
        <w:spacing w:after="0" w:line="240" w:lineRule="auto"/>
      </w:pPr>
      <w:r>
        <w:separator/>
      </w:r>
    </w:p>
  </w:footnote>
  <w:footnote w:type="continuationSeparator" w:id="0">
    <w:p w14:paraId="3513E7DA" w14:textId="77777777" w:rsidR="00A60E67" w:rsidRDefault="00A6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0E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D1785"/>
    <w:multiLevelType w:val="multilevel"/>
    <w:tmpl w:val="080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56640"/>
    <w:multiLevelType w:val="multilevel"/>
    <w:tmpl w:val="C2A4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56B7D"/>
    <w:multiLevelType w:val="multilevel"/>
    <w:tmpl w:val="D29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02D47"/>
    <w:multiLevelType w:val="multilevel"/>
    <w:tmpl w:val="7C068B9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4"/>
  </w:num>
  <w:num w:numId="4">
    <w:abstractNumId w:val="20"/>
  </w:num>
  <w:num w:numId="5">
    <w:abstractNumId w:val="18"/>
  </w:num>
  <w:num w:numId="6">
    <w:abstractNumId w:val="41"/>
  </w:num>
  <w:num w:numId="7">
    <w:abstractNumId w:val="22"/>
  </w:num>
  <w:num w:numId="8">
    <w:abstractNumId w:val="17"/>
  </w:num>
  <w:num w:numId="9">
    <w:abstractNumId w:val="1"/>
  </w:num>
  <w:num w:numId="10">
    <w:abstractNumId w:val="34"/>
  </w:num>
  <w:num w:numId="11">
    <w:abstractNumId w:val="38"/>
  </w:num>
  <w:num w:numId="12">
    <w:abstractNumId w:val="29"/>
  </w:num>
  <w:num w:numId="13">
    <w:abstractNumId w:val="28"/>
  </w:num>
  <w:num w:numId="14">
    <w:abstractNumId w:val="42"/>
  </w:num>
  <w:num w:numId="15">
    <w:abstractNumId w:val="15"/>
  </w:num>
  <w:num w:numId="16">
    <w:abstractNumId w:val="25"/>
  </w:num>
  <w:num w:numId="17">
    <w:abstractNumId w:val="11"/>
  </w:num>
  <w:num w:numId="18">
    <w:abstractNumId w:val="32"/>
  </w:num>
  <w:num w:numId="19">
    <w:abstractNumId w:val="33"/>
  </w:num>
  <w:num w:numId="20">
    <w:abstractNumId w:val="3"/>
  </w:num>
  <w:num w:numId="21">
    <w:abstractNumId w:val="12"/>
  </w:num>
  <w:num w:numId="22">
    <w:abstractNumId w:val="26"/>
  </w:num>
  <w:num w:numId="23">
    <w:abstractNumId w:val="43"/>
  </w:num>
  <w:num w:numId="24">
    <w:abstractNumId w:val="39"/>
  </w:num>
  <w:num w:numId="25">
    <w:abstractNumId w:val="31"/>
  </w:num>
  <w:num w:numId="26">
    <w:abstractNumId w:val="16"/>
  </w:num>
  <w:num w:numId="27">
    <w:abstractNumId w:val="37"/>
  </w:num>
  <w:num w:numId="28">
    <w:abstractNumId w:val="2"/>
  </w:num>
  <w:num w:numId="29">
    <w:abstractNumId w:val="27"/>
  </w:num>
  <w:num w:numId="30">
    <w:abstractNumId w:val="4"/>
  </w:num>
  <w:num w:numId="31">
    <w:abstractNumId w:val="13"/>
  </w:num>
  <w:num w:numId="32">
    <w:abstractNumId w:val="30"/>
  </w:num>
  <w:num w:numId="33">
    <w:abstractNumId w:val="23"/>
  </w:num>
  <w:num w:numId="34">
    <w:abstractNumId w:val="21"/>
  </w:num>
  <w:num w:numId="35">
    <w:abstractNumId w:val="7"/>
  </w:num>
  <w:num w:numId="36">
    <w:abstractNumId w:val="40"/>
  </w:num>
  <w:num w:numId="37">
    <w:abstractNumId w:val="10"/>
  </w:num>
  <w:num w:numId="38">
    <w:abstractNumId w:val="36"/>
  </w:num>
  <w:num w:numId="39">
    <w:abstractNumId w:val="19"/>
  </w:num>
  <w:num w:numId="40">
    <w:abstractNumId w:val="35"/>
  </w:num>
  <w:num w:numId="41">
    <w:abstractNumId w:val="24"/>
  </w:num>
  <w:num w:numId="42">
    <w:abstractNumId w:val="5"/>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E67"/>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113840</TotalTime>
  <Pages>3</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3116</cp:revision>
  <dcterms:created xsi:type="dcterms:W3CDTF">2024-06-20T08:51:00Z</dcterms:created>
  <dcterms:modified xsi:type="dcterms:W3CDTF">2025-01-06T19:38:00Z</dcterms:modified>
  <cp:category/>
</cp:coreProperties>
</file>