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F67110" w:rsidRDefault="00F67110" w:rsidP="00F67110">
      <w:r w:rsidRPr="00D858E0">
        <w:rPr>
          <w:rFonts w:ascii="Times New Roman" w:hAnsi="Times New Roman" w:cs="Times New Roman"/>
          <w:b/>
          <w:sz w:val="24"/>
          <w:szCs w:val="24"/>
        </w:rPr>
        <w:t>Гаргаун Наталія Миколаївна</w:t>
      </w:r>
      <w:r w:rsidRPr="00D858E0">
        <w:rPr>
          <w:rFonts w:ascii="Times New Roman" w:hAnsi="Times New Roman" w:cs="Times New Roman"/>
          <w:b/>
          <w:bCs/>
          <w:sz w:val="24"/>
          <w:szCs w:val="24"/>
        </w:rPr>
        <w:t>,</w:t>
      </w:r>
      <w:r w:rsidRPr="00D858E0">
        <w:rPr>
          <w:rFonts w:ascii="Times New Roman" w:hAnsi="Times New Roman" w:cs="Times New Roman"/>
          <w:bCs/>
          <w:sz w:val="24"/>
          <w:szCs w:val="24"/>
        </w:rPr>
        <w:t xml:space="preserve"> викладач іноземної мови Відокремленого структурного підрозділу «Вінницький фаховий коледж Національного університету харчових технологій». </w:t>
      </w:r>
      <w:r w:rsidRPr="00D858E0">
        <w:rPr>
          <w:rFonts w:ascii="Times New Roman" w:hAnsi="Times New Roman" w:cs="Times New Roman"/>
          <w:sz w:val="24"/>
          <w:szCs w:val="24"/>
        </w:rPr>
        <w:t xml:space="preserve">Назва дисертації: </w:t>
      </w:r>
      <w:r w:rsidRPr="00D858E0">
        <w:rPr>
          <w:rFonts w:ascii="Times New Roman" w:hAnsi="Times New Roman" w:cs="Times New Roman"/>
          <w:spacing w:val="-2"/>
          <w:sz w:val="24"/>
          <w:szCs w:val="24"/>
        </w:rPr>
        <w:t>«Формування економічної культури молодших спеціалістів техніків-електриків у процесі фахової підготовки»</w:t>
      </w:r>
      <w:r w:rsidRPr="00D858E0">
        <w:rPr>
          <w:rFonts w:ascii="Times New Roman" w:hAnsi="Times New Roman" w:cs="Times New Roman"/>
          <w:sz w:val="24"/>
          <w:szCs w:val="24"/>
        </w:rPr>
        <w:t>. Шифр та назва спеціальності – 13.00.04 – теорія і методика професійної освіти. Спецрада Д 70.052.05 Хмельницького національного університету</w:t>
      </w:r>
    </w:p>
    <w:sectPr w:rsidR="00CD7D1F" w:rsidRPr="00F6711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F67110" w:rsidRPr="00F6711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10566-3E88-4BB7-9D68-268A7563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64</Words>
  <Characters>368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2021-08-08T21:04:00Z</dcterms:created>
  <dcterms:modified xsi:type="dcterms:W3CDTF">2021-08-09T09:44:00Z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