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835E" w14:textId="77777777" w:rsidR="005D49C6" w:rsidRDefault="005D49C6" w:rsidP="005D49C6">
      <w:r>
        <w:t>Ефанов Александр Александрович. Глубинная медиатизация в неоинформационном обществе (на примере современных медиапрактик</w:t>
      </w:r>
      <w:proofErr w:type="gramStart"/>
      <w:r>
        <w:t>);[</w:t>
      </w:r>
      <w:proofErr w:type="gramEnd"/>
      <w:r>
        <w:t>Место защиты: ФГБОУ ВО «Московский педагогический государственный университет»], 2021</w:t>
      </w:r>
    </w:p>
    <w:p w14:paraId="329B8710" w14:textId="77777777" w:rsidR="005D49C6" w:rsidRDefault="005D49C6" w:rsidP="005D49C6"/>
    <w:p w14:paraId="13994975" w14:textId="77777777" w:rsidR="005D49C6" w:rsidRDefault="005D49C6" w:rsidP="005D49C6"/>
    <w:p w14:paraId="7AA3BC68" w14:textId="77777777" w:rsidR="005D49C6" w:rsidRDefault="005D49C6" w:rsidP="005D49C6">
      <w:r>
        <w:t>федеральное государственное бюджетное</w:t>
      </w:r>
    </w:p>
    <w:p w14:paraId="767FD6BE" w14:textId="77777777" w:rsidR="005D49C6" w:rsidRDefault="005D49C6" w:rsidP="005D49C6">
      <w:r>
        <w:t>образовательное учреждение высшего образования</w:t>
      </w:r>
    </w:p>
    <w:p w14:paraId="215E25B2" w14:textId="77777777" w:rsidR="005D49C6" w:rsidRDefault="005D49C6" w:rsidP="005D49C6">
      <w:r>
        <w:t>«Московский педагогический государственный университет»</w:t>
      </w:r>
    </w:p>
    <w:p w14:paraId="33D8DC15" w14:textId="77777777" w:rsidR="005D49C6" w:rsidRDefault="005D49C6" w:rsidP="005D49C6">
      <w:r>
        <w:t>На правах рукописи</w:t>
      </w:r>
    </w:p>
    <w:p w14:paraId="217FD0DF" w14:textId="77777777" w:rsidR="005D49C6" w:rsidRDefault="005D49C6" w:rsidP="005D49C6">
      <w:r>
        <w:t>Ефанов Александр Александрович</w:t>
      </w:r>
    </w:p>
    <w:p w14:paraId="3F7CBA2D" w14:textId="77777777" w:rsidR="005D49C6" w:rsidRDefault="005D49C6" w:rsidP="005D49C6">
      <w:r>
        <w:t>Глубинная медиатизация в неоинформационном обществе</w:t>
      </w:r>
    </w:p>
    <w:p w14:paraId="2EFF2EE9" w14:textId="77777777" w:rsidR="005D49C6" w:rsidRDefault="005D49C6" w:rsidP="005D49C6">
      <w:r>
        <w:t>(на примере современных медиапрактик)</w:t>
      </w:r>
    </w:p>
    <w:p w14:paraId="0EB75CF7" w14:textId="77777777" w:rsidR="005D49C6" w:rsidRDefault="005D49C6" w:rsidP="005D49C6">
      <w:r>
        <w:t>Научная специальность</w:t>
      </w:r>
    </w:p>
    <w:p w14:paraId="2B762BAD" w14:textId="77777777" w:rsidR="005D49C6" w:rsidRDefault="005D49C6" w:rsidP="005D49C6">
      <w:r>
        <w:t>5.4.4. Социальная структура, социальные институты и процессы</w:t>
      </w:r>
    </w:p>
    <w:p w14:paraId="6F764B4F" w14:textId="77777777" w:rsidR="005D49C6" w:rsidRDefault="005D49C6" w:rsidP="005D49C6">
      <w:r>
        <w:t>Диссертация</w:t>
      </w:r>
    </w:p>
    <w:p w14:paraId="28341022" w14:textId="77777777" w:rsidR="005D49C6" w:rsidRDefault="005D49C6" w:rsidP="005D49C6">
      <w:r>
        <w:t>на соискание ученой степени</w:t>
      </w:r>
    </w:p>
    <w:p w14:paraId="705BBAB2" w14:textId="77777777" w:rsidR="005D49C6" w:rsidRDefault="005D49C6" w:rsidP="005D49C6">
      <w:r>
        <w:t>доктора социологических наук</w:t>
      </w:r>
    </w:p>
    <w:p w14:paraId="0A163069" w14:textId="77777777" w:rsidR="005D49C6" w:rsidRDefault="005D49C6" w:rsidP="005D49C6">
      <w:r>
        <w:t>Научный консультант:</w:t>
      </w:r>
    </w:p>
    <w:p w14:paraId="104BD56F" w14:textId="77777777" w:rsidR="005D49C6" w:rsidRDefault="005D49C6" w:rsidP="005D49C6">
      <w:r>
        <w:t>доктор социологических наук, профессор</w:t>
      </w:r>
    </w:p>
    <w:p w14:paraId="4847BA06" w14:textId="77777777" w:rsidR="005D49C6" w:rsidRDefault="005D49C6" w:rsidP="005D49C6">
      <w:r>
        <w:t>Юдина Елена Николаевна</w:t>
      </w:r>
    </w:p>
    <w:p w14:paraId="02B84296" w14:textId="77777777" w:rsidR="005D49C6" w:rsidRDefault="005D49C6" w:rsidP="005D49C6">
      <w:r>
        <w:t>Москва - 2021</w:t>
      </w:r>
    </w:p>
    <w:p w14:paraId="71DF3620" w14:textId="77777777" w:rsidR="005D49C6" w:rsidRDefault="005D49C6" w:rsidP="005D49C6">
      <w:r>
        <w:t>ОГЛАВЛЕНИЕ</w:t>
      </w:r>
    </w:p>
    <w:p w14:paraId="1B2C6E54" w14:textId="77777777" w:rsidR="005D49C6" w:rsidRDefault="005D49C6" w:rsidP="005D49C6">
      <w:r>
        <w:t>ВВЕДЕНИЕ</w:t>
      </w:r>
      <w:r>
        <w:tab/>
        <w:t xml:space="preserve"> 4-30</w:t>
      </w:r>
    </w:p>
    <w:p w14:paraId="12914AEF" w14:textId="77777777" w:rsidR="005D49C6" w:rsidRDefault="005D49C6" w:rsidP="005D49C6">
      <w:r>
        <w:t>ОСНОВНАЯ ЧАСТЬ</w:t>
      </w:r>
      <w:r>
        <w:tab/>
        <w:t xml:space="preserve"> 31-308</w:t>
      </w:r>
    </w:p>
    <w:p w14:paraId="6AF47210" w14:textId="77777777" w:rsidR="005D49C6" w:rsidRDefault="005D49C6" w:rsidP="005D49C6">
      <w:r>
        <w:t>Глава 1. Теоретико-методологические основания исследования глубинной медиатизации в неоинформационном обществе</w:t>
      </w:r>
      <w:r>
        <w:tab/>
        <w:t xml:space="preserve"> 31-104</w:t>
      </w:r>
    </w:p>
    <w:p w14:paraId="3EC8B557" w14:textId="77777777" w:rsidR="005D49C6" w:rsidRDefault="005D49C6" w:rsidP="005D49C6">
      <w:r>
        <w:t>1.1</w:t>
      </w:r>
      <w:r>
        <w:tab/>
        <w:t>Неоинформационное общество как особая стадия социального</w:t>
      </w:r>
    </w:p>
    <w:p w14:paraId="34E1A93E" w14:textId="77777777" w:rsidR="005D49C6" w:rsidRDefault="005D49C6" w:rsidP="005D49C6">
      <w:r>
        <w:t>развития</w:t>
      </w:r>
      <w:r>
        <w:tab/>
        <w:t xml:space="preserve"> 31-68</w:t>
      </w:r>
    </w:p>
    <w:p w14:paraId="502672CF" w14:textId="77777777" w:rsidR="005D49C6" w:rsidRDefault="005D49C6" w:rsidP="005D49C6">
      <w:r>
        <w:t>1.2</w:t>
      </w:r>
      <w:r>
        <w:tab/>
        <w:t>Глубинная медиатизация как социальный метапроцесс</w:t>
      </w:r>
      <w:r>
        <w:tab/>
        <w:t xml:space="preserve"> 68-99</w:t>
      </w:r>
    </w:p>
    <w:p w14:paraId="6E0F4D62" w14:textId="77777777" w:rsidR="005D49C6" w:rsidRDefault="005D49C6" w:rsidP="005D49C6">
      <w:r>
        <w:t>Выводы по Главе 1</w:t>
      </w:r>
      <w:r>
        <w:tab/>
        <w:t xml:space="preserve"> 100-104</w:t>
      </w:r>
    </w:p>
    <w:p w14:paraId="5C188ECD" w14:textId="77777777" w:rsidR="005D49C6" w:rsidRDefault="005D49C6" w:rsidP="005D49C6">
      <w:r>
        <w:t>Глава 2. Динамика глубинной медиатизации в детерминантах неоинформационного общества</w:t>
      </w:r>
      <w:r>
        <w:tab/>
        <w:t xml:space="preserve"> 105-153</w:t>
      </w:r>
    </w:p>
    <w:p w14:paraId="352B4563" w14:textId="77777777" w:rsidR="005D49C6" w:rsidRDefault="005D49C6" w:rsidP="005D49C6">
      <w:r>
        <w:t>2.1</w:t>
      </w:r>
      <w:r>
        <w:tab/>
        <w:t>Расширение медиапространства как результат глубинной</w:t>
      </w:r>
    </w:p>
    <w:p w14:paraId="5811A48E" w14:textId="77777777" w:rsidR="005D49C6" w:rsidRDefault="005D49C6" w:rsidP="005D49C6">
      <w:r>
        <w:t>медиатизации</w:t>
      </w:r>
      <w:r>
        <w:tab/>
        <w:t xml:space="preserve"> 105-130</w:t>
      </w:r>
    </w:p>
    <w:p w14:paraId="37E2C144" w14:textId="77777777" w:rsidR="005D49C6" w:rsidRDefault="005D49C6" w:rsidP="005D49C6">
      <w:r>
        <w:t>2.2</w:t>
      </w:r>
      <w:r>
        <w:tab/>
        <w:t>Преобразование социальных практик повседневности неоинформационного общества в контексте глубинной</w:t>
      </w:r>
    </w:p>
    <w:p w14:paraId="111D13D7" w14:textId="77777777" w:rsidR="005D49C6" w:rsidRDefault="005D49C6" w:rsidP="005D49C6">
      <w:r>
        <w:t>медиатизации</w:t>
      </w:r>
      <w:r>
        <w:tab/>
        <w:t xml:space="preserve"> 130-150</w:t>
      </w:r>
    </w:p>
    <w:p w14:paraId="238ED32F" w14:textId="77777777" w:rsidR="005D49C6" w:rsidRDefault="005D49C6" w:rsidP="005D49C6">
      <w:r>
        <w:t>Выводы по Главе 2</w:t>
      </w:r>
      <w:r>
        <w:tab/>
        <w:t xml:space="preserve"> 150-153</w:t>
      </w:r>
    </w:p>
    <w:p w14:paraId="39486EC4" w14:textId="77777777" w:rsidR="005D49C6" w:rsidRDefault="005D49C6" w:rsidP="005D49C6">
      <w:r>
        <w:lastRenderedPageBreak/>
        <w:t>Глава 3. Репрезентация глубинной медиатизации в неоинформационном обществе</w:t>
      </w:r>
      <w:r>
        <w:tab/>
        <w:t xml:space="preserve"> 154-223</w:t>
      </w:r>
    </w:p>
    <w:p w14:paraId="2ACE33FD" w14:textId="77777777" w:rsidR="005D49C6" w:rsidRDefault="005D49C6" w:rsidP="005D49C6">
      <w:r>
        <w:t>3.1</w:t>
      </w:r>
      <w:r>
        <w:tab/>
        <w:t>Мифологизированное и виртуализированное воспроизводство</w:t>
      </w:r>
    </w:p>
    <w:p w14:paraId="43AD4222" w14:textId="77777777" w:rsidR="005D49C6" w:rsidRDefault="005D49C6" w:rsidP="005D49C6">
      <w:r>
        <w:t>глубинной медиатизации в неоинформационном обществе</w:t>
      </w:r>
      <w:r>
        <w:tab/>
        <w:t xml:space="preserve"> 154-186</w:t>
      </w:r>
    </w:p>
    <w:p w14:paraId="68CEE84B" w14:textId="77777777" w:rsidR="005D49C6" w:rsidRDefault="005D49C6" w:rsidP="005D49C6">
      <w:r>
        <w:t>3.2</w:t>
      </w:r>
      <w:r>
        <w:tab/>
        <w:t>Институциональная форма развития неоинформационного</w:t>
      </w:r>
    </w:p>
    <w:p w14:paraId="64B26C32" w14:textId="77777777" w:rsidR="005D49C6" w:rsidRDefault="005D49C6" w:rsidP="005D49C6">
      <w:r>
        <w:t>общества</w:t>
      </w:r>
      <w:r>
        <w:tab/>
        <w:t xml:space="preserve"> 186-215</w:t>
      </w:r>
    </w:p>
    <w:p w14:paraId="2BEDAA09" w14:textId="77777777" w:rsidR="005D49C6" w:rsidRDefault="005D49C6" w:rsidP="005D49C6">
      <w:r>
        <w:t>Выводы по Главе 3</w:t>
      </w:r>
      <w:r>
        <w:tab/>
        <w:t xml:space="preserve"> 215-223</w:t>
      </w:r>
    </w:p>
    <w:p w14:paraId="57A0D603" w14:textId="77777777" w:rsidR="005D49C6" w:rsidRDefault="005D49C6" w:rsidP="005D49C6">
      <w:r>
        <w:t>Глава 4. Социологический дискурс влияния глубинной медиатизации на функционирование неоинформационного</w:t>
      </w:r>
    </w:p>
    <w:p w14:paraId="503F1A83" w14:textId="77777777" w:rsidR="005D49C6" w:rsidRDefault="005D49C6" w:rsidP="005D49C6">
      <w:r>
        <w:t>общества</w:t>
      </w:r>
      <w:r>
        <w:tab/>
        <w:t xml:space="preserve"> 224-308</w:t>
      </w:r>
    </w:p>
    <w:p w14:paraId="1FE9033C" w14:textId="77777777" w:rsidR="005D49C6" w:rsidRDefault="005D49C6" w:rsidP="005D49C6">
      <w:r>
        <w:t>4.1</w:t>
      </w:r>
      <w:r>
        <w:tab/>
        <w:t>Трансформация</w:t>
      </w:r>
      <w:r>
        <w:tab/>
        <w:t>современных</w:t>
      </w:r>
      <w:r>
        <w:tab/>
        <w:t>медиапрактик</w:t>
      </w:r>
    </w:p>
    <w:p w14:paraId="492DE100" w14:textId="77777777" w:rsidR="005D49C6" w:rsidRDefault="005D49C6" w:rsidP="005D49C6">
      <w:r>
        <w:t>неоинформационного общества</w:t>
      </w:r>
      <w:r>
        <w:tab/>
        <w:t xml:space="preserve"> 224-252</w:t>
      </w:r>
    </w:p>
    <w:p w14:paraId="001D8C6E" w14:textId="77777777" w:rsidR="005D49C6" w:rsidRDefault="005D49C6" w:rsidP="005D49C6">
      <w:r>
        <w:t>4.2</w:t>
      </w:r>
      <w:r>
        <w:tab/>
        <w:t>Модернизация медиапространства и модификация его акторов в условиях глубинной медиатизации в неоинформационном обществе 253-287</w:t>
      </w:r>
    </w:p>
    <w:p w14:paraId="08A0F9C2" w14:textId="77777777" w:rsidR="005D49C6" w:rsidRDefault="005D49C6" w:rsidP="005D49C6">
      <w:r>
        <w:t>4.3</w:t>
      </w:r>
      <w:r>
        <w:tab/>
        <w:t>Переориентация стратегии медиаполитики в</w:t>
      </w:r>
    </w:p>
    <w:p w14:paraId="229A37E2" w14:textId="77777777" w:rsidR="005D49C6" w:rsidRDefault="005D49C6" w:rsidP="005D49C6">
      <w:r>
        <w:t>неоинформационном обществе</w:t>
      </w:r>
      <w:r>
        <w:tab/>
        <w:t xml:space="preserve"> 288-301</w:t>
      </w:r>
    </w:p>
    <w:p w14:paraId="115EA7FF" w14:textId="77777777" w:rsidR="005D49C6" w:rsidRDefault="005D49C6" w:rsidP="005D49C6">
      <w:r>
        <w:t xml:space="preserve">Выводы по Главе 4 </w:t>
      </w:r>
      <w:r>
        <w:tab/>
        <w:t xml:space="preserve"> 301-308</w:t>
      </w:r>
    </w:p>
    <w:p w14:paraId="775F9020" w14:textId="77777777" w:rsidR="005D49C6" w:rsidRDefault="005D49C6" w:rsidP="005D49C6">
      <w:r>
        <w:t>ЗАКЛЮЧЕНИЕ</w:t>
      </w:r>
      <w:r>
        <w:tab/>
        <w:t xml:space="preserve"> 309-330</w:t>
      </w:r>
    </w:p>
    <w:p w14:paraId="282923CF" w14:textId="77777777" w:rsidR="005D49C6" w:rsidRDefault="005D49C6" w:rsidP="005D49C6">
      <w:r>
        <w:t>БИБЛИОГРАФИЯ</w:t>
      </w:r>
      <w:r>
        <w:tab/>
        <w:t xml:space="preserve"> 331-378</w:t>
      </w:r>
    </w:p>
    <w:p w14:paraId="4D4F87F4" w14:textId="77777777" w:rsidR="005D49C6" w:rsidRDefault="005D49C6" w:rsidP="005D49C6">
      <w:r>
        <w:t>ПРИЛОЖЕНИЯ</w:t>
      </w:r>
      <w:r>
        <w:tab/>
        <w:t xml:space="preserve"> 379-391</w:t>
      </w:r>
    </w:p>
    <w:p w14:paraId="7F1F679D" w14:textId="77777777" w:rsidR="005D49C6" w:rsidRDefault="005D49C6" w:rsidP="005D49C6">
      <w:r>
        <w:t>Приложение А</w:t>
      </w:r>
      <w:r>
        <w:tab/>
        <w:t xml:space="preserve"> 379-382</w:t>
      </w:r>
    </w:p>
    <w:p w14:paraId="72D6F947" w14:textId="77777777" w:rsidR="005D49C6" w:rsidRDefault="005D49C6" w:rsidP="005D49C6">
      <w:r>
        <w:t>Приложение Б</w:t>
      </w:r>
      <w:r>
        <w:tab/>
        <w:t xml:space="preserve"> 383-386</w:t>
      </w:r>
    </w:p>
    <w:p w14:paraId="3259E888" w14:textId="2B2B516A" w:rsidR="00C02AF3" w:rsidRDefault="005D49C6" w:rsidP="005D49C6">
      <w:r>
        <w:t>Приложение В</w:t>
      </w:r>
      <w:r>
        <w:tab/>
        <w:t xml:space="preserve"> 387-391</w:t>
      </w:r>
    </w:p>
    <w:p w14:paraId="37DF187D" w14:textId="201F14B8" w:rsidR="005D49C6" w:rsidRDefault="005D49C6" w:rsidP="005D49C6"/>
    <w:p w14:paraId="636A9555" w14:textId="0AEFCA74" w:rsidR="005D49C6" w:rsidRDefault="005D49C6" w:rsidP="005D49C6"/>
    <w:p w14:paraId="1C6AF535" w14:textId="77777777" w:rsidR="005D49C6" w:rsidRDefault="005D49C6" w:rsidP="005D49C6">
      <w:pPr>
        <w:pStyle w:val="15"/>
        <w:keepNext/>
        <w:keepLines/>
        <w:shd w:val="clear" w:color="auto" w:fill="auto"/>
        <w:spacing w:after="477" w:line="280" w:lineRule="exact"/>
      </w:pPr>
      <w:bookmarkStart w:id="0" w:name="bookmark31"/>
      <w:r>
        <w:rPr>
          <w:rStyle w:val="14"/>
          <w:b/>
          <w:bCs/>
          <w:color w:val="000000"/>
        </w:rPr>
        <w:t>ОСНОВНЫЕ РЕКОМЕНДАЦИИ И ПРЕДЛОЖЕНИЯ</w:t>
      </w:r>
      <w:bookmarkEnd w:id="0"/>
    </w:p>
    <w:p w14:paraId="4E4DB204" w14:textId="77777777" w:rsidR="005D49C6" w:rsidRDefault="005D49C6" w:rsidP="005D49C6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С позиций разрабатываемой авторской концепции выдвигается ряд взаимосвязанных мероприятий, направленных на развитие неоинформационного общества в условиях глубинной медиатизации, реализующихся на уровне субъектов медиаполитики:</w:t>
      </w:r>
    </w:p>
    <w:p w14:paraId="15B33366" w14:textId="77777777" w:rsidR="005D49C6" w:rsidRDefault="005D49C6" w:rsidP="005D49C6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1) общественных объединений:</w:t>
      </w:r>
    </w:p>
    <w:p w14:paraId="16C791C5" w14:textId="77777777" w:rsidR="005D49C6" w:rsidRDefault="005D49C6" w:rsidP="005D49C6">
      <w:pPr>
        <w:pStyle w:val="210"/>
        <w:shd w:val="clear" w:color="auto" w:fill="auto"/>
        <w:tabs>
          <w:tab w:val="left" w:pos="1192"/>
        </w:tabs>
        <w:spacing w:after="0"/>
        <w:ind w:firstLine="74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 xml:space="preserve">законодательное регламентирование медиакоммуникационных отношений </w:t>
      </w:r>
      <w:r>
        <w:rPr>
          <w:rStyle w:val="21"/>
          <w:color w:val="000000"/>
        </w:rPr>
        <w:lastRenderedPageBreak/>
        <w:t>сочетать с общественным регулированием, что позволит обеспечить открытость и прозрачность диалога - сохранить равноправие всех участников, - обусловит гибкость системы и эффективность принимаемых решений, сохранив незыблемость закрепленной на уровне Конституции РФ гарантии на свободу слова;</w:t>
      </w:r>
    </w:p>
    <w:p w14:paraId="012FF183" w14:textId="77777777" w:rsidR="005D49C6" w:rsidRDefault="005D49C6" w:rsidP="005D49C6">
      <w:pPr>
        <w:pStyle w:val="210"/>
        <w:shd w:val="clear" w:color="auto" w:fill="auto"/>
        <w:tabs>
          <w:tab w:val="left" w:pos="1192"/>
        </w:tabs>
        <w:spacing w:after="0"/>
        <w:ind w:firstLine="74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организовать Совет по медиакоммуникациям - коллективный избираемый на определенный срок (на 5 лет) орган, работающий на общественных началах, который будет как принимать долгосрочные решения, так и разбирать текущие вопросы, связанные с функционированием медиапространства;</w:t>
      </w:r>
    </w:p>
    <w:p w14:paraId="2750D1E2" w14:textId="77777777" w:rsidR="005D49C6" w:rsidRDefault="005D49C6" w:rsidP="005D49C6">
      <w:pPr>
        <w:pStyle w:val="210"/>
        <w:shd w:val="clear" w:color="auto" w:fill="auto"/>
        <w:tabs>
          <w:tab w:val="left" w:pos="1192"/>
        </w:tabs>
        <w:spacing w:after="0"/>
        <w:ind w:firstLine="74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в состав Совета включить представителей медиаиндустрии различных форм собственности, общественности, а также политических институтов (по 10 человек; всего: 30 членов). Соотношение делегатов от каждой из групп должно быть равнозначно. Кандидатура председателя Совета определяется посредством внутреннего тайного голосования членов Совета из списка выдвинутых претендентов от каждой из групп;</w:t>
      </w:r>
    </w:p>
    <w:p w14:paraId="629093C8" w14:textId="77777777" w:rsidR="005D49C6" w:rsidRDefault="005D49C6" w:rsidP="005D49C6">
      <w:pPr>
        <w:pStyle w:val="210"/>
        <w:shd w:val="clear" w:color="auto" w:fill="auto"/>
        <w:tabs>
          <w:tab w:val="left" w:pos="1192"/>
        </w:tabs>
        <w:spacing w:after="0"/>
        <w:ind w:firstLine="74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закрепить за Советом по медиакоммуникациям вертикальную структуру организации с наличием федерального и регионального уровней (создание локальных Советов в каждом субъекте РФ, делегирование членов в федеральный Совет). Федеральный Совет уполномочен регулировать вопросы, связанные с функционированием медиапространства в общероссийском контексте, либо выступать в качестве высшей инстанции в случае возникновения коллизий на уровне Совета отдельного региона (конфликт интересов, отсутствие консенсуса и др.). Региональный Совет вправе рассматривать локальные вопросы функционирования медиапространства, исходя из социокультурной специфики субъекта РФ;</w:t>
      </w:r>
    </w:p>
    <w:p w14:paraId="5F824C57" w14:textId="77777777" w:rsidR="005D49C6" w:rsidRDefault="005D49C6" w:rsidP="005D49C6">
      <w:pPr>
        <w:pStyle w:val="210"/>
        <w:shd w:val="clear" w:color="auto" w:fill="auto"/>
        <w:spacing w:after="0"/>
        <w:ind w:firstLine="740"/>
        <w:jc w:val="both"/>
      </w:pPr>
      <w:r>
        <w:rPr>
          <w:rStyle w:val="21"/>
          <w:color w:val="000000"/>
        </w:rPr>
        <w:t>2) органов государственной власти:</w:t>
      </w:r>
    </w:p>
    <w:p w14:paraId="24B77E53" w14:textId="77777777" w:rsidR="005D49C6" w:rsidRDefault="005D49C6" w:rsidP="005D49C6">
      <w:pPr>
        <w:pStyle w:val="210"/>
        <w:shd w:val="clear" w:color="auto" w:fill="auto"/>
        <w:tabs>
          <w:tab w:val="left" w:pos="1098"/>
        </w:tabs>
        <w:spacing w:after="0"/>
        <w:ind w:firstLine="740"/>
        <w:jc w:val="both"/>
      </w:pPr>
      <w:r>
        <w:rPr>
          <w:rStyle w:val="21"/>
          <w:color w:val="000000"/>
        </w:rPr>
        <w:lastRenderedPageBreak/>
        <w:t>а)</w:t>
      </w:r>
      <w:r>
        <w:rPr>
          <w:rStyle w:val="21"/>
          <w:color w:val="000000"/>
        </w:rPr>
        <w:tab/>
        <w:t>на уровне долгосрочных решений Совета по медиакоммуникациям обеспечить открытое обсуждение концепции медиаполитики как основы социальной политики государства, а также разработку программ повышения медиаграмотности населения;</w:t>
      </w:r>
    </w:p>
    <w:p w14:paraId="2E75EC07" w14:textId="77777777" w:rsidR="005D49C6" w:rsidRDefault="005D49C6" w:rsidP="005D49C6">
      <w:pPr>
        <w:pStyle w:val="210"/>
        <w:shd w:val="clear" w:color="auto" w:fill="auto"/>
        <w:tabs>
          <w:tab w:val="left" w:pos="1098"/>
        </w:tabs>
        <w:spacing w:after="0"/>
        <w:ind w:firstLine="74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реализовывать медиаобразовательные программы на различных уровнях системы образования и для дифференцированных социальных групп:</w:t>
      </w:r>
    </w:p>
    <w:p w14:paraId="7CEC9305" w14:textId="77777777" w:rsidR="005D49C6" w:rsidRDefault="005D49C6" w:rsidP="005D49C6">
      <w:pPr>
        <w:pStyle w:val="210"/>
        <w:numPr>
          <w:ilvl w:val="0"/>
          <w:numId w:val="10"/>
        </w:numPr>
        <w:shd w:val="clear" w:color="auto" w:fill="auto"/>
        <w:tabs>
          <w:tab w:val="left" w:pos="1278"/>
          <w:tab w:val="left" w:pos="728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предусмотреть включение обязательных</w:t>
      </w:r>
      <w:r>
        <w:rPr>
          <w:rStyle w:val="21"/>
          <w:color w:val="000000"/>
        </w:rPr>
        <w:tab/>
        <w:t>дисциплин по</w:t>
      </w:r>
    </w:p>
    <w:p w14:paraId="1AD115CA" w14:textId="77777777" w:rsidR="005D49C6" w:rsidRDefault="005D49C6" w:rsidP="005D49C6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медиаграмотности в систему среднего и высшего непрофильного</w:t>
      </w:r>
      <w:r>
        <w:rPr>
          <w:rStyle w:val="21"/>
          <w:color w:val="000000"/>
          <w:vertAlign w:val="superscript"/>
        </w:rPr>
        <w:footnoteReference w:id="1"/>
      </w:r>
      <w:r>
        <w:rPr>
          <w:rStyle w:val="21"/>
          <w:color w:val="000000"/>
          <w:vertAlign w:val="superscript"/>
        </w:rPr>
        <w:t xml:space="preserve"> </w:t>
      </w:r>
      <w:r>
        <w:rPr>
          <w:rStyle w:val="21"/>
          <w:color w:val="000000"/>
        </w:rPr>
        <w:t>образования;</w:t>
      </w:r>
    </w:p>
    <w:p w14:paraId="623D9A4E" w14:textId="77777777" w:rsidR="005D49C6" w:rsidRDefault="005D49C6" w:rsidP="005D49C6">
      <w:pPr>
        <w:pStyle w:val="210"/>
        <w:numPr>
          <w:ilvl w:val="0"/>
          <w:numId w:val="10"/>
        </w:numPr>
        <w:shd w:val="clear" w:color="auto" w:fill="auto"/>
        <w:tabs>
          <w:tab w:val="left" w:pos="109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разработать курсы повышения квалификации для отдельных социальных групп (работающих граждан, пенсионеров);</w:t>
      </w:r>
    </w:p>
    <w:p w14:paraId="70559DD1" w14:textId="77777777" w:rsidR="005D49C6" w:rsidRDefault="005D49C6" w:rsidP="005D49C6">
      <w:pPr>
        <w:pStyle w:val="210"/>
        <w:numPr>
          <w:ilvl w:val="0"/>
          <w:numId w:val="10"/>
        </w:numPr>
        <w:shd w:val="clear" w:color="auto" w:fill="auto"/>
        <w:tabs>
          <w:tab w:val="left" w:pos="1278"/>
          <w:tab w:val="left" w:pos="7287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обеспечить проведение профессиональных</w:t>
      </w:r>
      <w:r>
        <w:rPr>
          <w:rStyle w:val="21"/>
          <w:color w:val="000000"/>
        </w:rPr>
        <w:tab/>
        <w:t>семинаров для</w:t>
      </w:r>
    </w:p>
    <w:p w14:paraId="1F9441F4" w14:textId="77777777" w:rsidR="005D49C6" w:rsidRDefault="005D49C6" w:rsidP="005D49C6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t>представителей медиаиндустрии;</w:t>
      </w:r>
    </w:p>
    <w:p w14:paraId="15B2FE31" w14:textId="77777777" w:rsidR="005D49C6" w:rsidRDefault="005D49C6" w:rsidP="005D49C6">
      <w:pPr>
        <w:pStyle w:val="210"/>
        <w:shd w:val="clear" w:color="auto" w:fill="auto"/>
        <w:tabs>
          <w:tab w:val="left" w:pos="1098"/>
        </w:tabs>
        <w:spacing w:after="0"/>
        <w:ind w:firstLine="74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структурировать медиаобразовательные программы по принципу равновесного соотношения теоретического и прикладного блоков, позволяя по результатам освоения не только создавать оригинальные медиапродукты, но и развивать аналитические компетенции при потреблении медиаконтента;</w:t>
      </w:r>
    </w:p>
    <w:p w14:paraId="0ECE5B65" w14:textId="77777777" w:rsidR="005D49C6" w:rsidRDefault="005D49C6" w:rsidP="005D49C6">
      <w:pPr>
        <w:pStyle w:val="210"/>
        <w:shd w:val="clear" w:color="auto" w:fill="auto"/>
        <w:tabs>
          <w:tab w:val="left" w:pos="1098"/>
        </w:tabs>
        <w:spacing w:after="0"/>
        <w:ind w:firstLine="740"/>
        <w:jc w:val="both"/>
      </w:pPr>
      <w:r>
        <w:rPr>
          <w:rStyle w:val="21"/>
          <w:color w:val="000000"/>
        </w:rPr>
        <w:t>г)</w:t>
      </w:r>
      <w:r>
        <w:rPr>
          <w:rStyle w:val="21"/>
          <w:color w:val="000000"/>
        </w:rPr>
        <w:tab/>
        <w:t>на основе медиаобразования и социального проектирования создать условия для повышения медиакультуры отдельных социальных групп неоинформационного общества (как потребителей, так и производителей медиаконтента). Для потребителей медиаконтента это означает усиление осознанного медиаповедения, основанного на развитии критического мышления, а для производителей - формирование медиаответственного отношения к своей аудитории, - обусловливающие повышение уровня социальной адаптации в новых медиакоммуникационных реалиях;</w:t>
      </w:r>
    </w:p>
    <w:p w14:paraId="1D94F102" w14:textId="77777777" w:rsidR="005D49C6" w:rsidRDefault="005D49C6" w:rsidP="005D49C6">
      <w:pPr>
        <w:pStyle w:val="210"/>
        <w:numPr>
          <w:ilvl w:val="0"/>
          <w:numId w:val="9"/>
        </w:numPr>
        <w:shd w:val="clear" w:color="auto" w:fill="auto"/>
        <w:tabs>
          <w:tab w:val="left" w:pos="110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правоохранительных органов:</w:t>
      </w:r>
    </w:p>
    <w:p w14:paraId="75EE9FDB" w14:textId="77777777" w:rsidR="005D49C6" w:rsidRDefault="005D49C6" w:rsidP="005D49C6">
      <w:pPr>
        <w:pStyle w:val="210"/>
        <w:shd w:val="clear" w:color="auto" w:fill="auto"/>
        <w:tabs>
          <w:tab w:val="left" w:pos="1079"/>
        </w:tabs>
        <w:spacing w:after="0"/>
        <w:ind w:firstLine="740"/>
        <w:jc w:val="both"/>
      </w:pPr>
      <w:r>
        <w:rPr>
          <w:rStyle w:val="21"/>
          <w:color w:val="000000"/>
        </w:rPr>
        <w:t>а)</w:t>
      </w:r>
      <w:r>
        <w:rPr>
          <w:rStyle w:val="21"/>
          <w:color w:val="000000"/>
        </w:rPr>
        <w:tab/>
        <w:t>на систематической основе осуществлять мониторинг продуктов поля Интернета (контент сетевых изданий, социальных сетей, блогов) на предмет популяризации запрещенных идеологических направлений и пропаганды деструктивного поведения, нацеленный на предотвращение их влияния на общество;</w:t>
      </w:r>
    </w:p>
    <w:p w14:paraId="5E77955C" w14:textId="77777777" w:rsidR="005D49C6" w:rsidRDefault="005D49C6" w:rsidP="005D49C6">
      <w:pPr>
        <w:pStyle w:val="210"/>
        <w:shd w:val="clear" w:color="auto" w:fill="auto"/>
        <w:tabs>
          <w:tab w:val="left" w:pos="1079"/>
        </w:tabs>
        <w:spacing w:after="0"/>
        <w:ind w:firstLine="740"/>
        <w:jc w:val="both"/>
      </w:pPr>
      <w:r>
        <w:rPr>
          <w:rStyle w:val="21"/>
          <w:color w:val="000000"/>
        </w:rPr>
        <w:t>б)</w:t>
      </w:r>
      <w:r>
        <w:rPr>
          <w:rStyle w:val="21"/>
          <w:color w:val="000000"/>
        </w:rPr>
        <w:tab/>
        <w:t>разработать и проводить для различных социальных групп комплекс профилактических мероприятий интерактивного формата, ориентированных на продвижение правил медиаэкологического поведения, норм социокоммуникационных отношений;</w:t>
      </w:r>
    </w:p>
    <w:p w14:paraId="2CA9CD8E" w14:textId="77777777" w:rsidR="005D49C6" w:rsidRDefault="005D49C6" w:rsidP="005D49C6">
      <w:pPr>
        <w:pStyle w:val="210"/>
        <w:shd w:val="clear" w:color="auto" w:fill="auto"/>
        <w:tabs>
          <w:tab w:val="left" w:pos="1079"/>
        </w:tabs>
        <w:spacing w:after="0"/>
        <w:ind w:firstLine="740"/>
        <w:jc w:val="both"/>
      </w:pPr>
      <w:r>
        <w:rPr>
          <w:rStyle w:val="21"/>
          <w:color w:val="000000"/>
        </w:rPr>
        <w:t>в)</w:t>
      </w:r>
      <w:r>
        <w:rPr>
          <w:rStyle w:val="21"/>
          <w:color w:val="000000"/>
        </w:rPr>
        <w:tab/>
        <w:t>организовать партнерское взаимодействие с медиаинститутами (реализация совместных семинаров, тренингов, круглых столов), направленное на конструктивное проектирование медиапространства с учетом правовых и этических норм, а также запросов целевой аудитории.</w:t>
      </w:r>
    </w:p>
    <w:p w14:paraId="093F7FFB" w14:textId="77777777" w:rsidR="005D49C6" w:rsidRDefault="005D49C6" w:rsidP="005D49C6">
      <w:pPr>
        <w:pStyle w:val="210"/>
        <w:shd w:val="clear" w:color="auto" w:fill="auto"/>
        <w:spacing w:after="0"/>
        <w:ind w:firstLine="740"/>
        <w:jc w:val="both"/>
        <w:sectPr w:rsidR="005D49C6">
          <w:pgSz w:w="11900" w:h="16840"/>
          <w:pgMar w:top="1005" w:right="696" w:bottom="1010" w:left="1547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Предлагаемые рекомендации во многом будут способствовать предотвращению провоцирования манипулятивных технологий, тем самым обусловливая социоцентричное функционирование медиапространства, формирование медиаэкологической среды, ориентированной на обеспечение медиабезопасности, в детерминантах глубинной медиатизации в неоинформационном обществе.</w:t>
      </w:r>
    </w:p>
    <w:p w14:paraId="2C367F30" w14:textId="77777777" w:rsidR="005D49C6" w:rsidRPr="005D49C6" w:rsidRDefault="005D49C6" w:rsidP="005D49C6"/>
    <w:sectPr w:rsidR="005D49C6" w:rsidRPr="005D49C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FED3" w14:textId="77777777" w:rsidR="00F4526C" w:rsidRDefault="00F4526C">
      <w:pPr>
        <w:spacing w:after="0" w:line="240" w:lineRule="auto"/>
      </w:pPr>
      <w:r>
        <w:separator/>
      </w:r>
    </w:p>
  </w:endnote>
  <w:endnote w:type="continuationSeparator" w:id="0">
    <w:p w14:paraId="09A715D4" w14:textId="77777777" w:rsidR="00F4526C" w:rsidRDefault="00F4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C544" w14:textId="77777777" w:rsidR="00F4526C" w:rsidRDefault="00F4526C">
      <w:pPr>
        <w:spacing w:after="0" w:line="240" w:lineRule="auto"/>
      </w:pPr>
      <w:r>
        <w:separator/>
      </w:r>
    </w:p>
  </w:footnote>
  <w:footnote w:type="continuationSeparator" w:id="0">
    <w:p w14:paraId="643009EA" w14:textId="77777777" w:rsidR="00F4526C" w:rsidRDefault="00F4526C">
      <w:pPr>
        <w:spacing w:after="0" w:line="240" w:lineRule="auto"/>
      </w:pPr>
      <w:r>
        <w:continuationSeparator/>
      </w:r>
    </w:p>
  </w:footnote>
  <w:footnote w:id="1">
    <w:p w14:paraId="641D66EB" w14:textId="77777777" w:rsidR="005D49C6" w:rsidRDefault="005D49C6" w:rsidP="005D49C6">
      <w:pPr>
        <w:pStyle w:val="aff1"/>
        <w:shd w:val="clear" w:color="auto" w:fill="auto"/>
        <w:spacing w:line="180" w:lineRule="exact"/>
        <w:jc w:val="left"/>
      </w:pPr>
      <w:r>
        <w:rPr>
          <w:rStyle w:val="af3"/>
          <w:b/>
          <w:bCs/>
          <w:color w:val="000000"/>
          <w:vertAlign w:val="superscript"/>
        </w:rPr>
        <w:footnoteRef/>
      </w:r>
      <w:r>
        <w:rPr>
          <w:rStyle w:val="af3"/>
          <w:b/>
          <w:bCs/>
          <w:color w:val="000000"/>
        </w:rPr>
        <w:t xml:space="preserve"> Прим. Не для студентов медийных направлений подготовки.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452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26C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155616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9823</cp:revision>
  <dcterms:created xsi:type="dcterms:W3CDTF">2024-06-20T08:51:00Z</dcterms:created>
  <dcterms:modified xsi:type="dcterms:W3CDTF">2025-03-03T09:37:00Z</dcterms:modified>
  <cp:category/>
</cp:coreProperties>
</file>