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C5DB" w14:textId="77777777" w:rsidR="005B5214" w:rsidRDefault="005B5214" w:rsidP="005B521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Рахмонкулов, Раимкул.</w:t>
      </w:r>
      <w:r>
        <w:rPr>
          <w:rFonts w:ascii="Helvetica" w:hAnsi="Helvetica" w:cs="Helvetica"/>
          <w:color w:val="222222"/>
          <w:sz w:val="21"/>
          <w:szCs w:val="21"/>
        </w:rPr>
        <w:br/>
      </w:r>
      <w:r>
        <w:rPr>
          <w:rStyle w:val="js-item-maininfo"/>
          <w:rFonts w:ascii="Helvetica" w:hAnsi="Helvetica" w:cs="Helvetica"/>
          <w:b/>
          <w:bCs/>
          <w:color w:val="222222"/>
          <w:sz w:val="21"/>
          <w:szCs w:val="21"/>
        </w:rPr>
        <w:t>Распространение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полуплоскости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имеющей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преграду</w:t>
      </w:r>
      <w:r>
        <w:rPr>
          <w:rStyle w:val="js-item-maininfo"/>
          <w:rFonts w:ascii="Helvetica" w:hAnsi="Helvetica" w:cs="Helvetica"/>
          <w:color w:val="222222"/>
          <w:sz w:val="21"/>
          <w:szCs w:val="21"/>
        </w:rPr>
        <w:t> : диссертация ... кандидата физико-математических наук : 01.02.04. - Ташкент, 1983. - 195 с. : ил.</w:t>
      </w:r>
      <w:r>
        <w:rPr>
          <w:rStyle w:val="search-descr"/>
          <w:rFonts w:ascii="Helvetica" w:hAnsi="Helvetica" w:cs="Helvetica"/>
          <w:color w:val="222222"/>
          <w:sz w:val="21"/>
          <w:szCs w:val="21"/>
        </w:rPr>
        <w:t>больше</w:t>
      </w:r>
    </w:p>
    <w:p w14:paraId="481C5BA4" w14:textId="77777777" w:rsidR="005B5214" w:rsidRDefault="005B5214" w:rsidP="005B521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2F490CD" w14:textId="77777777" w:rsidR="005B5214" w:rsidRDefault="005B5214" w:rsidP="0023786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B63C35D" w14:textId="77777777" w:rsidR="005B5214" w:rsidRDefault="005B5214" w:rsidP="005B52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им. В.И.ЛЕНЙНА На правах рукописи УДК 539.3 РахмонкудоБ </w:t>
      </w:r>
      <w:r>
        <w:rPr>
          <w:rFonts w:ascii="Helvetica" w:hAnsi="Helvetica" w:cs="Helvetica"/>
          <w:b/>
          <w:bCs/>
          <w:color w:val="222222"/>
          <w:sz w:val="21"/>
          <w:szCs w:val="21"/>
        </w:rPr>
        <w:t>Раимкул</w:t>
      </w:r>
      <w:r>
        <w:rPr>
          <w:rFonts w:ascii="Helvetica" w:hAnsi="Helvetica" w:cs="Helvetica"/>
          <w:color w:val="222222"/>
          <w:sz w:val="21"/>
          <w:szCs w:val="21"/>
        </w:rPr>
        <w:t> </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ПОЛУПЛОСКОСТИ</w:t>
      </w:r>
      <w:r>
        <w:rPr>
          <w:rFonts w:ascii="Helvetica" w:hAnsi="Helvetica" w:cs="Helvetica"/>
          <w:color w:val="222222"/>
          <w:sz w:val="21"/>
          <w:szCs w:val="21"/>
        </w:rPr>
        <w:t>, И Е Щ Й </w:t>
      </w:r>
      <w:r>
        <w:rPr>
          <w:rFonts w:ascii="Helvetica" w:hAnsi="Helvetica" w:cs="Helvetica"/>
          <w:b/>
          <w:bCs/>
          <w:color w:val="222222"/>
          <w:sz w:val="21"/>
          <w:szCs w:val="21"/>
        </w:rPr>
        <w:t>ПРЕГРАДУ</w:t>
      </w:r>
      <w:r>
        <w:rPr>
          <w:rFonts w:ascii="Helvetica" w:hAnsi="Helvetica" w:cs="Helvetica"/>
          <w:color w:val="222222"/>
          <w:sz w:val="21"/>
          <w:szCs w:val="21"/>
        </w:rPr>
        <w:t> МЮ Е 01.02.04 - Механика</w:t>
      </w:r>
    </w:p>
    <w:p w14:paraId="3D4ABE26" w14:textId="77777777" w:rsidR="005B5214" w:rsidRDefault="005B5214" w:rsidP="0023786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76D8FD8" w14:textId="77777777" w:rsidR="005B5214" w:rsidRDefault="005B5214" w:rsidP="005B52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упругих</w:t>
      </w:r>
      <w:r>
        <w:rPr>
          <w:rFonts w:ascii="Helvetica" w:hAnsi="Helvetica" w:cs="Helvetica"/>
          <w:color w:val="222222"/>
          <w:sz w:val="21"/>
          <w:szCs w:val="21"/>
        </w:rPr>
        <w:t> двз^компонентных пространствах, </w:t>
      </w:r>
      <w:r>
        <w:rPr>
          <w:rFonts w:ascii="Helvetica" w:hAnsi="Helvetica" w:cs="Helvetica"/>
          <w:b/>
          <w:bCs/>
          <w:color w:val="222222"/>
          <w:sz w:val="21"/>
          <w:szCs w:val="21"/>
        </w:rPr>
        <w:t>имеющих</w:t>
      </w:r>
      <w:r>
        <w:rPr>
          <w:rFonts w:ascii="Helvetica" w:hAnsi="Helvetica" w:cs="Helvetica"/>
          <w:color w:val="222222"/>
          <w:sz w:val="21"/>
          <w:szCs w:val="21"/>
        </w:rPr>
        <w:t> </w:t>
      </w:r>
      <w:r>
        <w:rPr>
          <w:rFonts w:ascii="Helvetica" w:hAnsi="Helvetica" w:cs="Helvetica"/>
          <w:b/>
          <w:bCs/>
          <w:color w:val="222222"/>
          <w:sz w:val="21"/>
          <w:szCs w:val="21"/>
        </w:rPr>
        <w:t>пре</w:t>
      </w:r>
      <w:r>
        <w:rPr>
          <w:rFonts w:ascii="Helvetica" w:hAnsi="Helvetica" w:cs="Helvetica"/>
          <w:b/>
          <w:bCs/>
          <w:color w:val="222222"/>
          <w:sz w:val="21"/>
          <w:szCs w:val="21"/>
        </w:rPr>
        <w:softHyphen/>
        <w:t xml:space="preserve"> граду</w:t>
      </w:r>
      <w:r>
        <w:rPr>
          <w:rFonts w:ascii="Helvetica" w:hAnsi="Helvetica" w:cs="Helvetica"/>
          <w:color w:val="222222"/>
          <w:sz w:val="21"/>
          <w:szCs w:val="21"/>
        </w:rPr>
        <w:t> § 3 . Частные случаи § 4. </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пористых плос</w:t>
      </w:r>
      <w:r>
        <w:rPr>
          <w:rFonts w:ascii="Helvetica" w:hAnsi="Helvetica" w:cs="Helvetica"/>
          <w:color w:val="222222"/>
          <w:sz w:val="21"/>
          <w:szCs w:val="21"/>
        </w:rPr>
        <w:softHyphen/>
        <w:t xml:space="preserve"> костях,</w:t>
      </w:r>
    </w:p>
    <w:p w14:paraId="41343BB8" w14:textId="77777777" w:rsidR="005B5214" w:rsidRDefault="005B5214" w:rsidP="0023786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0BE3CB34" w14:textId="77777777" w:rsidR="005B5214" w:rsidRDefault="005B5214" w:rsidP="005B52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анализа числовых примеров. Третья глава диссертации посвящается исследованию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двукомпонентной </w:t>
      </w:r>
      <w:r>
        <w:rPr>
          <w:rFonts w:ascii="Helvetica" w:hAnsi="Helvetica" w:cs="Helvetica"/>
          <w:b/>
          <w:bCs/>
          <w:color w:val="222222"/>
          <w:sz w:val="21"/>
          <w:szCs w:val="21"/>
        </w:rPr>
        <w:t>полуплоскости</w:t>
      </w:r>
      <w:r>
        <w:rPr>
          <w:rFonts w:ascii="Helvetica" w:hAnsi="Helvetica" w:cs="Helvetica"/>
          <w:color w:val="222222"/>
          <w:sz w:val="21"/>
          <w:szCs w:val="21"/>
        </w:rPr>
        <w:t>, </w:t>
      </w:r>
      <w:r>
        <w:rPr>
          <w:rFonts w:ascii="Helvetica" w:hAnsi="Helvetica" w:cs="Helvetica"/>
          <w:b/>
          <w:bCs/>
          <w:color w:val="222222"/>
          <w:sz w:val="21"/>
          <w:szCs w:val="21"/>
        </w:rPr>
        <w:t>имеющей</w:t>
      </w:r>
      <w:r>
        <w:rPr>
          <w:rFonts w:ascii="Helvetica" w:hAnsi="Helvetica" w:cs="Helvetica"/>
          <w:color w:val="222222"/>
          <w:sz w:val="21"/>
          <w:szCs w:val="21"/>
        </w:rPr>
        <w:t> двукомпонентную круговую </w:t>
      </w:r>
      <w:r>
        <w:rPr>
          <w:rFonts w:ascii="Helvetica" w:hAnsi="Helvetica" w:cs="Helvetica"/>
          <w:b/>
          <w:bCs/>
          <w:color w:val="222222"/>
          <w:sz w:val="21"/>
          <w:szCs w:val="21"/>
        </w:rPr>
        <w:t>преграду</w:t>
      </w:r>
      <w:r>
        <w:rPr>
          <w:rFonts w:ascii="Helvetica" w:hAnsi="Helvetica" w:cs="Helvetica"/>
          <w:color w:val="222222"/>
          <w:sz w:val="21"/>
          <w:szCs w:val="21"/>
        </w:rPr>
        <w:t>. Рассмотрены случаи, когда </w:t>
      </w:r>
      <w:r>
        <w:rPr>
          <w:rFonts w:ascii="Helvetica" w:hAnsi="Helvetica" w:cs="Helvetica"/>
          <w:b/>
          <w:bCs/>
          <w:color w:val="222222"/>
          <w:sz w:val="21"/>
          <w:szCs w:val="21"/>
        </w:rPr>
        <w:t>полуплоскость</w:t>
      </w:r>
      <w:r>
        <w:rPr>
          <w:rFonts w:ascii="Helvetica" w:hAnsi="Helvetica" w:cs="Helvetica"/>
          <w:color w:val="222222"/>
          <w:sz w:val="21"/>
          <w:szCs w:val="21"/>
        </w:rPr>
        <w:t> и </w:t>
      </w:r>
      <w:r>
        <w:rPr>
          <w:rFonts w:ascii="Helvetica" w:hAnsi="Helvetica" w:cs="Helvetica"/>
          <w:b/>
          <w:bCs/>
          <w:color w:val="222222"/>
          <w:sz w:val="21"/>
          <w:szCs w:val="21"/>
        </w:rPr>
        <w:t>преграда</w:t>
      </w:r>
      <w:r>
        <w:rPr>
          <w:rFonts w:ascii="Helvetica" w:hAnsi="Helvetica" w:cs="Helvetica"/>
          <w:color w:val="222222"/>
          <w:sz w:val="21"/>
          <w:szCs w:val="21"/>
        </w:rPr>
        <w:t> состоят из различ</w:t>
      </w:r>
      <w:r>
        <w:rPr>
          <w:rFonts w:ascii="Helvetica" w:hAnsi="Helvetica" w:cs="Helvetica"/>
          <w:color w:val="222222"/>
          <w:sz w:val="21"/>
          <w:szCs w:val="21"/>
        </w:rPr>
        <w:softHyphen/>
        <w:t xml:space="preserve"> ных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упругий</w:t>
      </w:r>
      <w:r>
        <w:rPr>
          <w:rFonts w:ascii="Helvetica" w:hAnsi="Helvetica" w:cs="Helvetica"/>
          <w:color w:val="222222"/>
          <w:sz w:val="21"/>
          <w:szCs w:val="21"/>
        </w:rPr>
        <w:t>" и </w:t>
      </w:r>
      <w:r>
        <w:rPr>
          <w:rFonts w:ascii="Helvetica" w:hAnsi="Helvetica" w:cs="Helvetica"/>
          <w:b/>
          <w:bCs/>
          <w:color w:val="222222"/>
          <w:sz w:val="21"/>
          <w:szCs w:val="21"/>
        </w:rPr>
        <w:t>упругой</w:t>
      </w:r>
      <w:r>
        <w:rPr>
          <w:rFonts w:ascii="Helvetica" w:hAnsi="Helvetica" w:cs="Helvetica"/>
          <w:color w:val="222222"/>
          <w:sz w:val="21"/>
          <w:szCs w:val="21"/>
        </w:rPr>
        <w:t> среды, насыщенной жидкостью.</w:t>
      </w:r>
    </w:p>
    <w:p w14:paraId="3CF736B3" w14:textId="77777777" w:rsidR="005B5214" w:rsidRDefault="005B5214" w:rsidP="0023786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2FA3C54" w14:textId="77777777" w:rsidR="005B5214" w:rsidRDefault="005B5214" w:rsidP="005B521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Рахмонкулов, Раимкул</w:t>
      </w:r>
    </w:p>
    <w:p w14:paraId="04E9516A"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5E4FC65"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Распространение плоских упругих волн в полуплоскости с цилиндрической преградой</w:t>
      </w:r>
    </w:p>
    <w:p w14:paraId="3CB35A9A"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47A78A5B"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задачи</w:t>
      </w:r>
    </w:p>
    <w:p w14:paraId="017398AF"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Частные случаи</w:t>
      </w:r>
    </w:p>
    <w:p w14:paraId="4AB519F6"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Численные результаты.</w:t>
      </w:r>
    </w:p>
    <w:p w14:paraId="20B1C88A"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Распространение волн в упругих двукомпонентных средах, имеющих преграду</w:t>
      </w:r>
    </w:p>
    <w:p w14:paraId="5F6710BA"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Исходные соотношения и управления для двукомпонентных сред.</w:t>
      </w:r>
    </w:p>
    <w:p w14:paraId="0FF98B10"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Распространение волн в упругих двукомпонентных пространствах, имеющих преграду</w:t>
      </w:r>
    </w:p>
    <w:p w14:paraId="73588FF8"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Частные случаи.</w:t>
      </w:r>
    </w:p>
    <w:p w14:paraId="27980EE9"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Распространение волн в пористых плоскостях, насыщенных кидкостью</w:t>
      </w:r>
    </w:p>
    <w:p w14:paraId="0F80D731"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Частные случаи</w:t>
      </w:r>
    </w:p>
    <w:p w14:paraId="5CCC1E68"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Численные результаты</w:t>
      </w:r>
    </w:p>
    <w:p w14:paraId="1DB7710C"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w:t>
      </w:r>
    </w:p>
    <w:p w14:paraId="2178971A"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Распространение волн в упругих двукомпонентных полупространствах при наличии преграды.</w:t>
      </w:r>
    </w:p>
    <w:p w14:paraId="2A498DB3"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Частные случаи.</w:t>
      </w:r>
    </w:p>
    <w:p w14:paraId="62CDC9EB"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задачи о дифракции плоской волны в двукомпонентном пористом полупространстве с преградсй.</w:t>
      </w:r>
    </w:p>
    <w:p w14:paraId="0BC81790"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Частные случаи</w:t>
      </w:r>
    </w:p>
    <w:p w14:paraId="163CA4F7"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Численные результаты.</w:t>
      </w:r>
    </w:p>
    <w:p w14:paraId="2F914D4E"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ГУ". Распространение волн в двукомпонентной полуплоскости с двумя преградами.</w:t>
      </w:r>
    </w:p>
    <w:p w14:paraId="744F7E4D"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Распространение волн в двукомпонентных упругих средах</w:t>
      </w:r>
    </w:p>
    <w:p w14:paraId="28AD4F6D"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Частные случаи.</w:t>
      </w:r>
    </w:p>
    <w:p w14:paraId="1BCCE164"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Распространение волн в пористых средах</w:t>
      </w:r>
    </w:p>
    <w:p w14:paraId="1DEF762C"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Частные случаи.</w:t>
      </w:r>
    </w:p>
    <w:p w14:paraId="06953C59" w14:textId="77777777" w:rsidR="005B5214" w:rsidRDefault="005B5214" w:rsidP="005B5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Численные результаты</w:t>
      </w:r>
    </w:p>
    <w:p w14:paraId="4CCADE6E" w14:textId="77D75C2A" w:rsidR="004F7911" w:rsidRPr="005B5214" w:rsidRDefault="004F7911" w:rsidP="005B5214"/>
    <w:sectPr w:rsidR="004F7911" w:rsidRPr="005B521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FD23" w14:textId="77777777" w:rsidR="00237869" w:rsidRDefault="00237869">
      <w:pPr>
        <w:spacing w:after="0" w:line="240" w:lineRule="auto"/>
      </w:pPr>
      <w:r>
        <w:separator/>
      </w:r>
    </w:p>
  </w:endnote>
  <w:endnote w:type="continuationSeparator" w:id="0">
    <w:p w14:paraId="0EC26598" w14:textId="77777777" w:rsidR="00237869" w:rsidRDefault="0023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7E74" w14:textId="77777777" w:rsidR="00237869" w:rsidRDefault="00237869"/>
    <w:p w14:paraId="5E57122A" w14:textId="77777777" w:rsidR="00237869" w:rsidRDefault="00237869"/>
    <w:p w14:paraId="4D60AFEC" w14:textId="77777777" w:rsidR="00237869" w:rsidRDefault="00237869"/>
    <w:p w14:paraId="1149C256" w14:textId="77777777" w:rsidR="00237869" w:rsidRDefault="00237869"/>
    <w:p w14:paraId="55B1094D" w14:textId="77777777" w:rsidR="00237869" w:rsidRDefault="00237869"/>
    <w:p w14:paraId="03BEA153" w14:textId="77777777" w:rsidR="00237869" w:rsidRDefault="00237869"/>
    <w:p w14:paraId="433F922B" w14:textId="77777777" w:rsidR="00237869" w:rsidRDefault="002378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273A10" wp14:editId="43EB76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71434" w14:textId="77777777" w:rsidR="00237869" w:rsidRDefault="002378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273A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371434" w14:textId="77777777" w:rsidR="00237869" w:rsidRDefault="002378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D74B1E" w14:textId="77777777" w:rsidR="00237869" w:rsidRDefault="00237869"/>
    <w:p w14:paraId="7669B362" w14:textId="77777777" w:rsidR="00237869" w:rsidRDefault="00237869"/>
    <w:p w14:paraId="5013AF9C" w14:textId="77777777" w:rsidR="00237869" w:rsidRDefault="002378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BA5D7" wp14:editId="14860C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64EC" w14:textId="77777777" w:rsidR="00237869" w:rsidRDefault="00237869"/>
                          <w:p w14:paraId="3072A14E" w14:textId="77777777" w:rsidR="00237869" w:rsidRDefault="002378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BA5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FE64EC" w14:textId="77777777" w:rsidR="00237869" w:rsidRDefault="00237869"/>
                    <w:p w14:paraId="3072A14E" w14:textId="77777777" w:rsidR="00237869" w:rsidRDefault="002378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44DB00" w14:textId="77777777" w:rsidR="00237869" w:rsidRDefault="00237869"/>
    <w:p w14:paraId="529254FB" w14:textId="77777777" w:rsidR="00237869" w:rsidRDefault="00237869">
      <w:pPr>
        <w:rPr>
          <w:sz w:val="2"/>
          <w:szCs w:val="2"/>
        </w:rPr>
      </w:pPr>
    </w:p>
    <w:p w14:paraId="52D3140C" w14:textId="77777777" w:rsidR="00237869" w:rsidRDefault="00237869"/>
    <w:p w14:paraId="06B4FBA9" w14:textId="77777777" w:rsidR="00237869" w:rsidRDefault="00237869">
      <w:pPr>
        <w:spacing w:after="0" w:line="240" w:lineRule="auto"/>
      </w:pPr>
    </w:p>
  </w:footnote>
  <w:footnote w:type="continuationSeparator" w:id="0">
    <w:p w14:paraId="28293B37" w14:textId="77777777" w:rsidR="00237869" w:rsidRDefault="00237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BFE620D"/>
    <w:multiLevelType w:val="multilevel"/>
    <w:tmpl w:val="B8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69"/>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184130</TotalTime>
  <Pages>2</Pages>
  <Words>305</Words>
  <Characters>1743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cp:revision>
  <cp:lastPrinted>2009-02-06T05:36:00Z</cp:lastPrinted>
  <dcterms:created xsi:type="dcterms:W3CDTF">2024-01-07T13:43:00Z</dcterms:created>
  <dcterms:modified xsi:type="dcterms:W3CDTF">2025-10-14T20:44:00Z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