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261CF96A" w:rsidR="00B31500" w:rsidRPr="00E51ED5" w:rsidRDefault="00E51ED5" w:rsidP="00E51ED5">
      <w:bookmarkStart w:id="0" w:name="_GoBack"/>
      <w:r>
        <w:rPr>
          <w:rFonts w:ascii="Verdana" w:hAnsi="Verdana"/>
          <w:b/>
          <w:bCs/>
          <w:color w:val="000000"/>
          <w:shd w:val="clear" w:color="auto" w:fill="FFFFFF"/>
        </w:rPr>
        <w:t>Гарбар Вероніка Володимирівна. Формування стратегій сталого розвитку фермерських господарств</w:t>
      </w:r>
      <w:bookmarkEnd w:id="0"/>
      <w:r>
        <w:rPr>
          <w:rFonts w:ascii="Verdana" w:hAnsi="Verdana"/>
          <w:b/>
          <w:bCs/>
          <w:color w:val="000000"/>
          <w:shd w:val="clear" w:color="auto" w:fill="FFFFFF"/>
        </w:rPr>
        <w:t>.- Дисертація канд. екон. наук: 08.00.04, Нац. акад. аграр. наук України, Нац. наук. центр "Ін-т аграр. економіки". - Київ, 2015.- 200 с.</w:t>
      </w:r>
    </w:p>
    <w:sectPr w:rsidR="00B31500" w:rsidRPr="00E51E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6B35C" w14:textId="77777777" w:rsidR="00516C83" w:rsidRDefault="00516C83">
      <w:pPr>
        <w:spacing w:after="0" w:line="240" w:lineRule="auto"/>
      </w:pPr>
      <w:r>
        <w:separator/>
      </w:r>
    </w:p>
  </w:endnote>
  <w:endnote w:type="continuationSeparator" w:id="0">
    <w:p w14:paraId="7946DF30" w14:textId="77777777" w:rsidR="00516C83" w:rsidRDefault="0051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82C43" w14:textId="77777777" w:rsidR="00516C83" w:rsidRDefault="00516C83">
      <w:pPr>
        <w:spacing w:after="0" w:line="240" w:lineRule="auto"/>
      </w:pPr>
      <w:r>
        <w:separator/>
      </w:r>
    </w:p>
  </w:footnote>
  <w:footnote w:type="continuationSeparator" w:id="0">
    <w:p w14:paraId="579EA66B" w14:textId="77777777" w:rsidR="00516C83" w:rsidRDefault="00516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C83"/>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11698</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2462</cp:revision>
  <cp:lastPrinted>2009-02-06T05:36:00Z</cp:lastPrinted>
  <dcterms:created xsi:type="dcterms:W3CDTF">2016-09-19T15:12:00Z</dcterms:created>
  <dcterms:modified xsi:type="dcterms:W3CDTF">2017-01-14T08:28:00Z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