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4829" w14:textId="0BB1D137" w:rsidR="00121E9B" w:rsidRDefault="00FF598F" w:rsidP="00FF598F">
      <w:pPr>
        <w:rPr>
          <w:rFonts w:ascii="Verdana" w:hAnsi="Verdana"/>
          <w:b/>
          <w:bCs/>
          <w:color w:val="000000"/>
          <w:shd w:val="clear" w:color="auto" w:fill="FFFFFF"/>
        </w:rPr>
      </w:pPr>
      <w:r>
        <w:rPr>
          <w:rFonts w:ascii="Verdana" w:hAnsi="Verdana"/>
          <w:b/>
          <w:bCs/>
          <w:color w:val="000000"/>
          <w:shd w:val="clear" w:color="auto" w:fill="FFFFFF"/>
        </w:rPr>
        <w:t> Скобєльцев Сергій Олександрович. Статистичне моделювання вибору вкладника в умовах ризику: дис... канд. екон. наук: 08.03.01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598F" w:rsidRPr="00FF598F" w14:paraId="7A3CF1BA" w14:textId="77777777" w:rsidTr="00FF59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598F" w:rsidRPr="00FF598F" w14:paraId="6EBB0AB8" w14:textId="77777777">
              <w:trPr>
                <w:tblCellSpacing w:w="0" w:type="dxa"/>
              </w:trPr>
              <w:tc>
                <w:tcPr>
                  <w:tcW w:w="0" w:type="auto"/>
                  <w:vAlign w:val="center"/>
                  <w:hideMark/>
                </w:tcPr>
                <w:p w14:paraId="78C54DCD"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lastRenderedPageBreak/>
                    <w:t>Скобєльцев С. О. Статистичне моделювання вибору вкладника в умовах ризику. – </w:t>
                  </w:r>
                  <w:r w:rsidRPr="00FF598F">
                    <w:rPr>
                      <w:rFonts w:ascii="Times New Roman" w:eastAsia="Times New Roman" w:hAnsi="Times New Roman" w:cs="Times New Roman"/>
                      <w:i/>
                      <w:iCs/>
                      <w:sz w:val="24"/>
                      <w:szCs w:val="24"/>
                    </w:rPr>
                    <w:t>Рукопис.</w:t>
                  </w:r>
                </w:p>
                <w:p w14:paraId="44469BA5"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Статистика. - Київський національний економічний університет. - Київ, 2004.</w:t>
                  </w:r>
                </w:p>
                <w:p w14:paraId="63CDF19D"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В дисертації автор проводить всебічний статистичний аналіз факторів впливу на вибір в умовах ризику та пропанує власні теоретико-методологічні основи</w:t>
                  </w:r>
                  <w:r w:rsidRPr="00FF598F">
                    <w:rPr>
                      <w:rFonts w:ascii="Times New Roman" w:eastAsia="Times New Roman" w:hAnsi="Times New Roman" w:cs="Times New Roman"/>
                      <w:b/>
                      <w:bCs/>
                      <w:sz w:val="24"/>
                      <w:szCs w:val="24"/>
                    </w:rPr>
                    <w:t> </w:t>
                  </w:r>
                  <w:r w:rsidRPr="00FF598F">
                    <w:rPr>
                      <w:rFonts w:ascii="Times New Roman" w:eastAsia="Times New Roman" w:hAnsi="Times New Roman" w:cs="Times New Roman"/>
                      <w:sz w:val="24"/>
                      <w:szCs w:val="24"/>
                    </w:rPr>
                    <w:t>вибору, ґрунтуючись на трактуванні підсумків статистичного аналізу, та припущені про те, що на вибір в умовах ризику, здійснюють вплив два протилежних фактора “задоволення” і “незадоволення”, зважених на рівень грошових доходів населення. Завдяки цьому в даній роботі вперше запропоновані статистичні формули розрахунку факторів впливу на вибір в умовах ризику, та їх графічне представлення, крім цього виведена багатомірна статистична модель, на основі якої можливо передбачати поводження потенційних вкладників комерційних банків та недержавних пенсійних фондів.</w:t>
                  </w:r>
                </w:p>
              </w:tc>
            </w:tr>
          </w:tbl>
          <w:p w14:paraId="18972A42" w14:textId="77777777" w:rsidR="00FF598F" w:rsidRPr="00FF598F" w:rsidRDefault="00FF598F" w:rsidP="00FF598F">
            <w:pPr>
              <w:spacing w:after="0" w:line="240" w:lineRule="auto"/>
              <w:rPr>
                <w:rFonts w:ascii="Times New Roman" w:eastAsia="Times New Roman" w:hAnsi="Times New Roman" w:cs="Times New Roman"/>
                <w:sz w:val="24"/>
                <w:szCs w:val="24"/>
              </w:rPr>
            </w:pPr>
          </w:p>
        </w:tc>
      </w:tr>
      <w:tr w:rsidR="00FF598F" w:rsidRPr="00FF598F" w14:paraId="6C2AB430" w14:textId="77777777" w:rsidTr="00FF59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598F" w:rsidRPr="00FF598F" w14:paraId="1895A9BC" w14:textId="77777777">
              <w:trPr>
                <w:tblCellSpacing w:w="0" w:type="dxa"/>
              </w:trPr>
              <w:tc>
                <w:tcPr>
                  <w:tcW w:w="0" w:type="auto"/>
                  <w:vAlign w:val="center"/>
                  <w:hideMark/>
                </w:tcPr>
                <w:p w14:paraId="0F125EEA"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що є основою для проведення багатовимірного статистичного аналізу мотивації поведінки вкладника. Проведене комплексне дослідження цієї наукової проблеми дає змогу для виведення таких теоретичних узагальнень і практичних висновків:</w:t>
                  </w:r>
                </w:p>
                <w:p w14:paraId="4ECFF1AD"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1. У дисертації узагальнені аспекти впливу ризиків на роботу недержавних пенсійних фондів та комерційних банків на основі аналізу економічних теорій вибору. Доведено, що теорії вибору в умовах ризику, розроблені М. Алле, Л. Севіджем, та ін., можуть бути застосовані до більш вузької проблеми вибору, а саме статистичного моделювання вибору вкладником недержавного пенсійного фонду чи банку, та розміру їх вкладу.</w:t>
                  </w:r>
                </w:p>
                <w:p w14:paraId="1A775C4E"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2 На основі розрахунків доведена перспективність розвитку ринку внутрішніх запозичень, який протягом майже всього досліджуваного періоду мав стабільну тенденцію до зростання, при цьому сумарний обсяг вкладів зріс з 1015 млн. грн. до 9850 млн. грн. При цьому середній темп росту вкладів фізичних осіб у комерційні банки за весь період склав 3,39% на місяць, в абсолютних величинах дана тенденція виражається в середньому абсолютному приросту в 129 млн. грн. на місяць.</w:t>
                  </w:r>
                </w:p>
                <w:p w14:paraId="701CE9BC"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3. Побудована багатовимірна статистична модель впливу макроекономічних факторів на обсяг вкладів фізичних осіб в комерційних банках України, яка після статистичної оцінки параметрів підтвердила високий рівень значимості трьох факторів: середня процентна ставка по вкладах, курс гривні до долара США та зростання рівня доходів населення України. Кінцева модель має вигляд:</w:t>
                  </w:r>
                </w:p>
                <w:p w14:paraId="203FC37D"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i/>
                      <w:iCs/>
                      <w:sz w:val="24"/>
                      <w:szCs w:val="24"/>
                    </w:rPr>
                    <w:t>VD = -4120,38 +0,109013 </w:t>
                  </w:r>
                  <w:r w:rsidRPr="00FF598F">
                    <w:rPr>
                      <w:rFonts w:ascii="Times New Roman" w:eastAsia="Times New Roman" w:hAnsi="Times New Roman" w:cs="Times New Roman"/>
                      <w:sz w:val="24"/>
                      <w:szCs w:val="24"/>
                      <w:vertAlign w:val="superscript"/>
                    </w:rPr>
                    <w:t>x</w:t>
                  </w:r>
                  <w:r w:rsidRPr="00FF598F">
                    <w:rPr>
                      <w:rFonts w:ascii="Times New Roman" w:eastAsia="Times New Roman" w:hAnsi="Times New Roman" w:cs="Times New Roman"/>
                      <w:i/>
                      <w:iCs/>
                      <w:sz w:val="24"/>
                      <w:szCs w:val="24"/>
                    </w:rPr>
                    <w:t> IP – 4,17341 </w:t>
                  </w:r>
                  <w:r w:rsidRPr="00FF598F">
                    <w:rPr>
                      <w:rFonts w:ascii="Times New Roman" w:eastAsia="Times New Roman" w:hAnsi="Times New Roman" w:cs="Times New Roman"/>
                      <w:sz w:val="24"/>
                      <w:szCs w:val="24"/>
                      <w:vertAlign w:val="superscript"/>
                    </w:rPr>
                    <w:t>x </w:t>
                  </w:r>
                  <w:r w:rsidRPr="00FF598F">
                    <w:rPr>
                      <w:rFonts w:ascii="Times New Roman" w:eastAsia="Times New Roman" w:hAnsi="Times New Roman" w:cs="Times New Roman"/>
                      <w:i/>
                      <w:iCs/>
                      <w:sz w:val="24"/>
                      <w:szCs w:val="24"/>
                    </w:rPr>
                    <w:t>ER</w:t>
                  </w:r>
                  <w:r w:rsidRPr="00FF598F">
                    <w:rPr>
                      <w:rFonts w:ascii="Times New Roman" w:eastAsia="Times New Roman" w:hAnsi="Times New Roman" w:cs="Times New Roman"/>
                      <w:i/>
                      <w:iCs/>
                      <w:sz w:val="24"/>
                      <w:szCs w:val="24"/>
                      <w:vertAlign w:val="subscript"/>
                    </w:rPr>
                    <w:t> </w:t>
                  </w:r>
                  <w:r w:rsidRPr="00FF598F">
                    <w:rPr>
                      <w:rFonts w:ascii="Times New Roman" w:eastAsia="Times New Roman" w:hAnsi="Times New Roman" w:cs="Times New Roman"/>
                      <w:i/>
                      <w:iCs/>
                      <w:sz w:val="24"/>
                      <w:szCs w:val="24"/>
                    </w:rPr>
                    <w:t>+ 64,8804 </w:t>
                  </w:r>
                  <w:r w:rsidRPr="00FF598F">
                    <w:rPr>
                      <w:rFonts w:ascii="Times New Roman" w:eastAsia="Times New Roman" w:hAnsi="Times New Roman" w:cs="Times New Roman"/>
                      <w:sz w:val="24"/>
                      <w:szCs w:val="24"/>
                      <w:vertAlign w:val="superscript"/>
                    </w:rPr>
                    <w:t>x</w:t>
                  </w:r>
                  <w:r w:rsidRPr="00FF598F">
                    <w:rPr>
                      <w:rFonts w:ascii="Times New Roman" w:eastAsia="Times New Roman" w:hAnsi="Times New Roman" w:cs="Times New Roman"/>
                      <w:i/>
                      <w:iCs/>
                      <w:sz w:val="24"/>
                      <w:szCs w:val="24"/>
                    </w:rPr>
                    <w:t> PR ,</w:t>
                  </w:r>
                </w:p>
                <w:p w14:paraId="493B655B"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де </w:t>
                  </w:r>
                  <w:r w:rsidRPr="00FF598F">
                    <w:rPr>
                      <w:rFonts w:ascii="Times New Roman" w:eastAsia="Times New Roman" w:hAnsi="Times New Roman" w:cs="Times New Roman"/>
                      <w:i/>
                      <w:iCs/>
                      <w:sz w:val="24"/>
                      <w:szCs w:val="24"/>
                    </w:rPr>
                    <w:t>VD</w:t>
                  </w:r>
                  <w:r w:rsidRPr="00FF598F">
                    <w:rPr>
                      <w:rFonts w:ascii="Times New Roman" w:eastAsia="Times New Roman" w:hAnsi="Times New Roman" w:cs="Times New Roman"/>
                      <w:i/>
                      <w:iCs/>
                      <w:sz w:val="24"/>
                      <w:szCs w:val="24"/>
                      <w:vertAlign w:val="subscript"/>
                    </w:rPr>
                    <w:t> </w:t>
                  </w:r>
                  <w:r w:rsidRPr="00FF598F">
                    <w:rPr>
                      <w:rFonts w:ascii="Times New Roman" w:eastAsia="Times New Roman" w:hAnsi="Times New Roman" w:cs="Times New Roman"/>
                      <w:sz w:val="24"/>
                      <w:szCs w:val="24"/>
                    </w:rPr>
                    <w:t>- обсяг вкладів; </w:t>
                  </w:r>
                  <w:r w:rsidRPr="00FF598F">
                    <w:rPr>
                      <w:rFonts w:ascii="Times New Roman" w:eastAsia="Times New Roman" w:hAnsi="Times New Roman" w:cs="Times New Roman"/>
                      <w:i/>
                      <w:iCs/>
                      <w:sz w:val="24"/>
                      <w:szCs w:val="24"/>
                    </w:rPr>
                    <w:t>IP</w:t>
                  </w:r>
                  <w:r w:rsidRPr="00FF598F">
                    <w:rPr>
                      <w:rFonts w:ascii="Times New Roman" w:eastAsia="Times New Roman" w:hAnsi="Times New Roman" w:cs="Times New Roman"/>
                      <w:sz w:val="24"/>
                      <w:szCs w:val="24"/>
                    </w:rPr>
                    <w:t> - грошові доходи населення; </w:t>
                  </w:r>
                  <w:r w:rsidRPr="00FF598F">
                    <w:rPr>
                      <w:rFonts w:ascii="Times New Roman" w:eastAsia="Times New Roman" w:hAnsi="Times New Roman" w:cs="Times New Roman"/>
                      <w:i/>
                      <w:iCs/>
                      <w:sz w:val="24"/>
                      <w:szCs w:val="24"/>
                    </w:rPr>
                    <w:t>ER</w:t>
                  </w:r>
                  <w:r w:rsidRPr="00FF598F">
                    <w:rPr>
                      <w:rFonts w:ascii="Times New Roman" w:eastAsia="Times New Roman" w:hAnsi="Times New Roman" w:cs="Times New Roman"/>
                      <w:sz w:val="24"/>
                      <w:szCs w:val="24"/>
                    </w:rPr>
                    <w:t> - курс гривні до долара США; </w:t>
                  </w:r>
                  <w:r w:rsidRPr="00FF598F">
                    <w:rPr>
                      <w:rFonts w:ascii="Times New Roman" w:eastAsia="Times New Roman" w:hAnsi="Times New Roman" w:cs="Times New Roman"/>
                      <w:i/>
                      <w:iCs/>
                      <w:sz w:val="24"/>
                      <w:szCs w:val="24"/>
                    </w:rPr>
                    <w:t>PR</w:t>
                  </w:r>
                  <w:r w:rsidRPr="00FF598F">
                    <w:rPr>
                      <w:rFonts w:ascii="Times New Roman" w:eastAsia="Times New Roman" w:hAnsi="Times New Roman" w:cs="Times New Roman"/>
                      <w:i/>
                      <w:iCs/>
                      <w:sz w:val="24"/>
                      <w:szCs w:val="24"/>
                      <w:vertAlign w:val="subscript"/>
                    </w:rPr>
                    <w:t> </w:t>
                  </w:r>
                  <w:r w:rsidRPr="00FF598F">
                    <w:rPr>
                      <w:rFonts w:ascii="Times New Roman" w:eastAsia="Times New Roman" w:hAnsi="Times New Roman" w:cs="Times New Roman"/>
                      <w:sz w:val="24"/>
                      <w:szCs w:val="24"/>
                    </w:rPr>
                    <w:t>- середній відсоток по вкладах;. Данні фактори пояснюють майже 97 % змін в обсягах вкладів фізичних осіб.</w:t>
                  </w:r>
                </w:p>
                <w:p w14:paraId="06AC30D3"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4. У результаті проведеного статистичного аналізу можна стверджувати, що модель, яка описує вибір вкладника недержавного пенсійного фонду в умовах ризику і визначає суму вкладів (</w:t>
                  </w:r>
                  <w:r w:rsidRPr="00FF598F">
                    <w:rPr>
                      <w:rFonts w:ascii="Times New Roman" w:eastAsia="Times New Roman" w:hAnsi="Times New Roman" w:cs="Times New Roman"/>
                      <w:i/>
                      <w:iCs/>
                      <w:sz w:val="24"/>
                      <w:szCs w:val="24"/>
                    </w:rPr>
                    <w:t>VD</w:t>
                  </w:r>
                  <w:r w:rsidRPr="00FF598F">
                    <w:rPr>
                      <w:rFonts w:ascii="Times New Roman" w:eastAsia="Times New Roman" w:hAnsi="Times New Roman" w:cs="Times New Roman"/>
                      <w:sz w:val="24"/>
                      <w:szCs w:val="24"/>
                    </w:rPr>
                    <w:t>), виглядає як константа помножена на дохід вкладників (</w:t>
                  </w:r>
                  <w:r w:rsidRPr="00FF598F">
                    <w:rPr>
                      <w:rFonts w:ascii="Times New Roman" w:eastAsia="Times New Roman" w:hAnsi="Times New Roman" w:cs="Times New Roman"/>
                      <w:i/>
                      <w:iCs/>
                      <w:sz w:val="24"/>
                      <w:szCs w:val="24"/>
                    </w:rPr>
                    <w:t>IP</w:t>
                  </w:r>
                  <w:r w:rsidRPr="00FF598F">
                    <w:rPr>
                      <w:rFonts w:ascii="Times New Roman" w:eastAsia="Times New Roman" w:hAnsi="Times New Roman" w:cs="Times New Roman"/>
                      <w:sz w:val="24"/>
                      <w:szCs w:val="24"/>
                    </w:rPr>
                    <w:t>),</w:t>
                  </w:r>
                  <w:r w:rsidRPr="00FF598F">
                    <w:rPr>
                      <w:rFonts w:ascii="Times New Roman" w:eastAsia="Times New Roman" w:hAnsi="Times New Roman" w:cs="Times New Roman"/>
                      <w:sz w:val="24"/>
                      <w:szCs w:val="24"/>
                      <w:vertAlign w:val="subscript"/>
                    </w:rPr>
                    <w:t> </w:t>
                  </w:r>
                  <w:r w:rsidRPr="00FF598F">
                    <w:rPr>
                      <w:rFonts w:ascii="Times New Roman" w:eastAsia="Times New Roman" w:hAnsi="Times New Roman" w:cs="Times New Roman"/>
                      <w:sz w:val="24"/>
                      <w:szCs w:val="24"/>
                    </w:rPr>
                    <w:t xml:space="preserve">помножений на поправочний </w:t>
                  </w:r>
                  <w:r w:rsidRPr="00FF598F">
                    <w:rPr>
                      <w:rFonts w:ascii="Times New Roman" w:eastAsia="Times New Roman" w:hAnsi="Times New Roman" w:cs="Times New Roman"/>
                      <w:sz w:val="24"/>
                      <w:szCs w:val="24"/>
                    </w:rPr>
                    <w:lastRenderedPageBreak/>
                    <w:t>коефіцієнт, до якої додається різниця між двома кількісними показниками, що описують емоції «задоволення» і «незадоволення» (</w:t>
                  </w:r>
                  <w:r w:rsidRPr="00FF598F">
                    <w:rPr>
                      <w:rFonts w:ascii="Times New Roman" w:eastAsia="Times New Roman" w:hAnsi="Times New Roman" w:cs="Times New Roman"/>
                      <w:i/>
                      <w:iCs/>
                      <w:sz w:val="24"/>
                      <w:szCs w:val="24"/>
                    </w:rPr>
                    <w:t>DM</w:t>
                  </w:r>
                  <w:r w:rsidRPr="00FF598F">
                    <w:rPr>
                      <w:rFonts w:ascii="Times New Roman" w:eastAsia="Times New Roman" w:hAnsi="Times New Roman" w:cs="Times New Roman"/>
                      <w:sz w:val="24"/>
                      <w:szCs w:val="24"/>
                    </w:rPr>
                    <w:t>), помножених на поправочний коефіцієнт.</w:t>
                  </w:r>
                </w:p>
                <w:p w14:paraId="16D9BD30"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i/>
                      <w:iCs/>
                      <w:sz w:val="24"/>
                      <w:szCs w:val="24"/>
                    </w:rPr>
                    <w:t>VD = -2285,67 + 0,0742029 </w:t>
                  </w:r>
                  <w:r w:rsidRPr="00FF598F">
                    <w:rPr>
                      <w:rFonts w:ascii="Times New Roman" w:eastAsia="Times New Roman" w:hAnsi="Times New Roman" w:cs="Times New Roman"/>
                      <w:sz w:val="24"/>
                      <w:szCs w:val="24"/>
                      <w:vertAlign w:val="superscript"/>
                    </w:rPr>
                    <w:t>x</w:t>
                  </w:r>
                  <w:r w:rsidRPr="00FF598F">
                    <w:rPr>
                      <w:rFonts w:ascii="Times New Roman" w:eastAsia="Times New Roman" w:hAnsi="Times New Roman" w:cs="Times New Roman"/>
                      <w:i/>
                      <w:iCs/>
                      <w:sz w:val="24"/>
                      <w:szCs w:val="24"/>
                    </w:rPr>
                    <w:t> IP</w:t>
                  </w:r>
                  <w:r w:rsidRPr="00FF598F">
                    <w:rPr>
                      <w:rFonts w:ascii="Times New Roman" w:eastAsia="Times New Roman" w:hAnsi="Times New Roman" w:cs="Times New Roman"/>
                      <w:i/>
                      <w:iCs/>
                      <w:sz w:val="24"/>
                      <w:szCs w:val="24"/>
                      <w:vertAlign w:val="subscript"/>
                    </w:rPr>
                    <w:t> </w:t>
                  </w:r>
                  <w:r w:rsidRPr="00FF598F">
                    <w:rPr>
                      <w:rFonts w:ascii="Times New Roman" w:eastAsia="Times New Roman" w:hAnsi="Times New Roman" w:cs="Times New Roman"/>
                      <w:i/>
                      <w:iCs/>
                      <w:sz w:val="24"/>
                      <w:szCs w:val="24"/>
                    </w:rPr>
                    <w:t>+ 133,535 </w:t>
                  </w:r>
                  <w:r w:rsidRPr="00FF598F">
                    <w:rPr>
                      <w:rFonts w:ascii="Times New Roman" w:eastAsia="Times New Roman" w:hAnsi="Times New Roman" w:cs="Times New Roman"/>
                      <w:sz w:val="24"/>
                      <w:szCs w:val="24"/>
                      <w:vertAlign w:val="superscript"/>
                    </w:rPr>
                    <w:t>x </w:t>
                  </w:r>
                  <w:r w:rsidRPr="00FF598F">
                    <w:rPr>
                      <w:rFonts w:ascii="Times New Roman" w:eastAsia="Times New Roman" w:hAnsi="Times New Roman" w:cs="Times New Roman"/>
                      <w:i/>
                      <w:iCs/>
                      <w:sz w:val="24"/>
                      <w:szCs w:val="24"/>
                    </w:rPr>
                    <w:t>DM.</w:t>
                  </w:r>
                </w:p>
                <w:p w14:paraId="3A3B8632"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У даній моделі показник «задоволення» впливає позитивно, тобто приводить до збільшення суми вкладу, показник «незадоволення» негативний і приводить до зменшення суми вкладу, а показник доходу вкладника може змінювати свій знак у залежності від зміни самого доходу з позитивного на негативний.</w:t>
                  </w:r>
                </w:p>
                <w:p w14:paraId="18980901"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5. Обґрунтоване використання кількісних оцінок впливу макроекономічних факторів на ставлення вкладника до розміру вкладу. Розроблене графічне представлення кількісних показників що впливають на вибір вкладника та відображають вплив ризику на обсяг залучень коштів комерційними банками України</w:t>
                  </w:r>
                </w:p>
                <w:p w14:paraId="1B9E20DD"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6. Результати даного дослідження можуть використовуватися недержавними пенсійними фондами і комерційними банками для розробки політики роботи з клієнтами та рекламних компаній. Все це разом дає можливість збільшення обсягу внутрішніх інвестицій в економіку України через залучення до цього процесу коштів фізичних осіб.</w:t>
                  </w:r>
                </w:p>
                <w:p w14:paraId="1C5F8C4A" w14:textId="77777777" w:rsidR="00FF598F" w:rsidRPr="00FF598F" w:rsidRDefault="00FF598F" w:rsidP="00FF59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98F">
                    <w:rPr>
                      <w:rFonts w:ascii="Times New Roman" w:eastAsia="Times New Roman" w:hAnsi="Times New Roman" w:cs="Times New Roman"/>
                      <w:sz w:val="24"/>
                      <w:szCs w:val="24"/>
                    </w:rPr>
                    <w:t>7. На макроекономічному рівні результати статистичного аналізу та побудовані моделі можуть бути використані міністерством праці і соціальної політики, пенсійним фондом України для розробки програм дій, роз'яснювальної роботи, пов'язаної з проведення пенсійної реформи в Україні.</w:t>
                  </w:r>
                </w:p>
              </w:tc>
            </w:tr>
          </w:tbl>
          <w:p w14:paraId="409D4346" w14:textId="77777777" w:rsidR="00FF598F" w:rsidRPr="00FF598F" w:rsidRDefault="00FF598F" w:rsidP="00FF598F">
            <w:pPr>
              <w:spacing w:after="0" w:line="240" w:lineRule="auto"/>
              <w:rPr>
                <w:rFonts w:ascii="Times New Roman" w:eastAsia="Times New Roman" w:hAnsi="Times New Roman" w:cs="Times New Roman"/>
                <w:sz w:val="24"/>
                <w:szCs w:val="24"/>
              </w:rPr>
            </w:pPr>
          </w:p>
        </w:tc>
      </w:tr>
    </w:tbl>
    <w:p w14:paraId="3FB3EA85" w14:textId="77777777" w:rsidR="00FF598F" w:rsidRPr="00FF598F" w:rsidRDefault="00FF598F" w:rsidP="00FF598F"/>
    <w:sectPr w:rsidR="00FF598F" w:rsidRPr="00FF59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7186" w14:textId="77777777" w:rsidR="00544B68" w:rsidRDefault="00544B68">
      <w:pPr>
        <w:spacing w:after="0" w:line="240" w:lineRule="auto"/>
      </w:pPr>
      <w:r>
        <w:separator/>
      </w:r>
    </w:p>
  </w:endnote>
  <w:endnote w:type="continuationSeparator" w:id="0">
    <w:p w14:paraId="723C8B7E" w14:textId="77777777" w:rsidR="00544B68" w:rsidRDefault="0054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CD02" w14:textId="77777777" w:rsidR="00544B68" w:rsidRDefault="00544B68">
      <w:pPr>
        <w:spacing w:after="0" w:line="240" w:lineRule="auto"/>
      </w:pPr>
      <w:r>
        <w:separator/>
      </w:r>
    </w:p>
  </w:footnote>
  <w:footnote w:type="continuationSeparator" w:id="0">
    <w:p w14:paraId="2688AC85" w14:textId="77777777" w:rsidR="00544B68" w:rsidRDefault="0054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4B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AB"/>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B6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98124</TotalTime>
  <Pages>3</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6110</cp:revision>
  <dcterms:created xsi:type="dcterms:W3CDTF">2024-06-20T08:51:00Z</dcterms:created>
  <dcterms:modified xsi:type="dcterms:W3CDTF">2024-10-06T20:08:00Z</dcterms:modified>
  <cp:category/>
</cp:coreProperties>
</file>