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D4E8" w14:textId="77777777" w:rsidR="00D70478" w:rsidRDefault="00D70478" w:rsidP="00D70478">
      <w:pPr>
        <w:pStyle w:val="210"/>
        <w:shd w:val="clear" w:color="auto" w:fill="auto"/>
        <w:ind w:left="360"/>
      </w:pPr>
      <w:r>
        <w:rPr>
          <w:rStyle w:val="21"/>
          <w:color w:val="000000"/>
        </w:rPr>
        <w:t>Федеральное государственное автономное образовательное учреждение</w:t>
      </w:r>
    </w:p>
    <w:p w14:paraId="7041BF91" w14:textId="77777777" w:rsidR="00D70478" w:rsidRDefault="00D70478" w:rsidP="00D70478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высшего образования</w:t>
      </w:r>
    </w:p>
    <w:p w14:paraId="255EFE1C" w14:textId="77777777" w:rsidR="00D70478" w:rsidRDefault="00D70478" w:rsidP="00D70478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«ДАЛЬНЕВОСТОЧНЫЙ ФЕДЕРАЛЬНЫЙ УНИВЕРСИТЕТ»</w:t>
      </w:r>
    </w:p>
    <w:p w14:paraId="48474952" w14:textId="77777777" w:rsidR="00D70478" w:rsidRDefault="00D70478" w:rsidP="00D70478">
      <w:pPr>
        <w:pStyle w:val="210"/>
        <w:shd w:val="clear" w:color="auto" w:fill="auto"/>
        <w:spacing w:after="1590"/>
        <w:ind w:left="20"/>
      </w:pPr>
      <w:r>
        <w:rPr>
          <w:rStyle w:val="21"/>
          <w:color w:val="000000"/>
        </w:rPr>
        <w:t>(ДВФУ)</w:t>
      </w:r>
    </w:p>
    <w:p w14:paraId="71D49DC3" w14:textId="77777777" w:rsidR="00D70478" w:rsidRDefault="00D70478" w:rsidP="00D70478">
      <w:pPr>
        <w:pStyle w:val="210"/>
        <w:shd w:val="clear" w:color="auto" w:fill="auto"/>
        <w:spacing w:after="2257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04B52CEB" w14:textId="77777777" w:rsidR="00D70478" w:rsidRDefault="00D70478" w:rsidP="00D70478">
      <w:pPr>
        <w:pStyle w:val="210"/>
        <w:shd w:val="clear" w:color="auto" w:fill="auto"/>
        <w:spacing w:after="652" w:line="280" w:lineRule="exact"/>
        <w:ind w:left="20"/>
      </w:pPr>
      <w:r>
        <w:rPr>
          <w:rStyle w:val="21"/>
          <w:color w:val="000000"/>
        </w:rPr>
        <w:t>ЦИНЬ Сяофэн</w:t>
      </w:r>
    </w:p>
    <w:p w14:paraId="3588D637" w14:textId="77777777" w:rsidR="00D70478" w:rsidRDefault="00D70478" w:rsidP="00D70478">
      <w:pPr>
        <w:pStyle w:val="30"/>
        <w:shd w:val="clear" w:color="auto" w:fill="auto"/>
        <w:spacing w:before="0" w:after="720"/>
        <w:ind w:left="20" w:firstLine="0"/>
      </w:pPr>
      <w:r>
        <w:rPr>
          <w:rStyle w:val="3"/>
          <w:b/>
          <w:bCs/>
          <w:color w:val="000000"/>
        </w:rPr>
        <w:t>РОССИЙСКО-КИТАЙСКАЯ МЕЖКУЛЬТУРНАЯ</w:t>
      </w:r>
      <w:r>
        <w:rPr>
          <w:rStyle w:val="3"/>
          <w:b/>
          <w:bCs/>
          <w:color w:val="000000"/>
        </w:rPr>
        <w:br/>
        <w:t>КОММУНИКАЦИЯ В ХУДОЖЕСТВЕННОЙ ЖИЗНИ И ТВОРЧЕСТВЕ</w:t>
      </w:r>
      <w:r>
        <w:rPr>
          <w:rStyle w:val="3"/>
          <w:b/>
          <w:bCs/>
          <w:color w:val="000000"/>
        </w:rPr>
        <w:br/>
        <w:t>КИТАЙСКИХ ХУДОЖНИКОВ РЕАЛИСТИЧЕСКОЙ ШКОЛЫ</w:t>
      </w:r>
      <w:r>
        <w:rPr>
          <w:rStyle w:val="3"/>
          <w:b/>
          <w:bCs/>
          <w:color w:val="000000"/>
        </w:rPr>
        <w:br/>
        <w:t>КОНЦА XX - НАЧАЛА XXI ВЕКА</w:t>
      </w:r>
      <w:r>
        <w:rPr>
          <w:rStyle w:val="3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24.00.01 - Теория и история культуры</w:t>
      </w:r>
    </w:p>
    <w:p w14:paraId="5D8EC136" w14:textId="77777777" w:rsidR="00D70478" w:rsidRDefault="00D70478" w:rsidP="00D70478">
      <w:pPr>
        <w:pStyle w:val="210"/>
        <w:shd w:val="clear" w:color="auto" w:fill="auto"/>
        <w:spacing w:after="1260" w:line="322" w:lineRule="exact"/>
        <w:ind w:left="20"/>
      </w:pPr>
      <w:r>
        <w:rPr>
          <w:rStyle w:val="21"/>
          <w:color w:val="000000"/>
        </w:rPr>
        <w:t>ДИССЕРТАЦИЯ</w:t>
      </w:r>
      <w:r>
        <w:rPr>
          <w:rStyle w:val="21"/>
          <w:color w:val="000000"/>
        </w:rPr>
        <w:br/>
      </w:r>
      <w:r>
        <w:rPr>
          <w:rStyle w:val="21"/>
          <w:color w:val="000000"/>
        </w:rPr>
        <w:lastRenderedPageBreak/>
        <w:t>на соискание ученой степени</w:t>
      </w:r>
      <w:r>
        <w:rPr>
          <w:rStyle w:val="21"/>
          <w:color w:val="000000"/>
        </w:rPr>
        <w:br/>
        <w:t>кандидата искусствоведения</w:t>
      </w:r>
    </w:p>
    <w:p w14:paraId="48972E86" w14:textId="77777777" w:rsidR="00D70478" w:rsidRDefault="00D70478" w:rsidP="00D70478">
      <w:pPr>
        <w:pStyle w:val="210"/>
        <w:shd w:val="clear" w:color="auto" w:fill="auto"/>
        <w:spacing w:line="322" w:lineRule="exact"/>
        <w:ind w:left="4680"/>
        <w:jc w:val="both"/>
      </w:pPr>
      <w:r>
        <w:rPr>
          <w:rStyle w:val="21"/>
          <w:color w:val="000000"/>
        </w:rPr>
        <w:t>Научный руководитель:</w:t>
      </w:r>
    </w:p>
    <w:p w14:paraId="6AE0B8D2" w14:textId="77777777" w:rsidR="00D70478" w:rsidRDefault="00D70478" w:rsidP="00D70478">
      <w:pPr>
        <w:pStyle w:val="210"/>
        <w:shd w:val="clear" w:color="auto" w:fill="auto"/>
        <w:spacing w:after="1593" w:line="322" w:lineRule="exact"/>
        <w:ind w:left="4680"/>
        <w:jc w:val="both"/>
      </w:pPr>
      <w:r>
        <w:rPr>
          <w:rStyle w:val="21"/>
          <w:color w:val="000000"/>
        </w:rPr>
        <w:t>Федоровская Наталья Александровна, доктор искусствоведения, доцент</w:t>
      </w:r>
    </w:p>
    <w:p w14:paraId="4A1F50F1" w14:textId="77777777" w:rsidR="00D70478" w:rsidRDefault="00D70478" w:rsidP="00D70478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Владивосток</w:t>
      </w:r>
    </w:p>
    <w:p w14:paraId="2E7102BF" w14:textId="77777777" w:rsidR="00D70478" w:rsidRDefault="00D70478" w:rsidP="00D70478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2022</w:t>
      </w:r>
      <w:r>
        <w:br w:type="page"/>
      </w:r>
    </w:p>
    <w:p w14:paraId="40832105" w14:textId="77777777" w:rsidR="00D70478" w:rsidRDefault="00D70478" w:rsidP="00D70478">
      <w:pPr>
        <w:pStyle w:val="30"/>
        <w:shd w:val="clear" w:color="auto" w:fill="auto"/>
        <w:spacing w:before="0" w:after="632" w:line="280" w:lineRule="exact"/>
        <w:ind w:right="460" w:firstLine="0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0196892C" w14:textId="77777777" w:rsidR="00D70478" w:rsidRDefault="00D70478" w:rsidP="00D70478">
      <w:pPr>
        <w:pStyle w:val="76"/>
        <w:tabs>
          <w:tab w:val="left" w:leader="dot" w:pos="8320"/>
        </w:tabs>
        <w:spacing w:after="299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77"/>
          <w:b/>
          <w:bCs/>
          <w:color w:val="000000"/>
        </w:rPr>
        <w:t>ВВЕДЕНИЕ</w:t>
      </w:r>
      <w:r>
        <w:rPr>
          <w:rStyle w:val="77"/>
          <w:b/>
          <w:bCs/>
          <w:color w:val="000000"/>
        </w:rPr>
        <w:tab/>
        <w:t xml:space="preserve"> 3</w:t>
      </w:r>
    </w:p>
    <w:p w14:paraId="071913FC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1</w:t>
      </w:r>
    </w:p>
    <w:p w14:paraId="68206A76" w14:textId="77777777" w:rsidR="00D70478" w:rsidRDefault="00D70478" w:rsidP="00D70478">
      <w:pPr>
        <w:pStyle w:val="76"/>
        <w:tabs>
          <w:tab w:val="left" w:pos="2755"/>
          <w:tab w:val="left" w:pos="5698"/>
        </w:tabs>
        <w:spacing w:after="0" w:line="322" w:lineRule="exact"/>
      </w:pPr>
      <w:r>
        <w:rPr>
          <w:rStyle w:val="77"/>
          <w:b/>
          <w:bCs/>
          <w:color w:val="000000"/>
        </w:rPr>
        <w:t>Предпосылки</w:t>
      </w:r>
      <w:r>
        <w:rPr>
          <w:rStyle w:val="77"/>
          <w:b/>
          <w:bCs/>
          <w:color w:val="000000"/>
        </w:rPr>
        <w:tab/>
        <w:t>возникновения</w:t>
      </w:r>
      <w:r>
        <w:rPr>
          <w:rStyle w:val="77"/>
          <w:b/>
          <w:bCs/>
          <w:color w:val="000000"/>
        </w:rPr>
        <w:tab/>
        <w:t>российско-китайских</w:t>
      </w:r>
    </w:p>
    <w:p w14:paraId="3EA113E3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</w:pPr>
      <w:r>
        <w:rPr>
          <w:rStyle w:val="77"/>
          <w:b/>
          <w:bCs/>
          <w:color w:val="000000"/>
        </w:rPr>
        <w:t>межкультурных связей в сфере изобразительного искусства конца XX - начала XXI века</w:t>
      </w:r>
      <w:r>
        <w:rPr>
          <w:rStyle w:val="77"/>
          <w:b/>
          <w:bCs/>
          <w:color w:val="000000"/>
        </w:rPr>
        <w:tab/>
        <w:t xml:space="preserve"> 18</w:t>
      </w:r>
    </w:p>
    <w:p w14:paraId="4484B38C" w14:textId="77777777" w:rsidR="00D70478" w:rsidRDefault="00D70478" w:rsidP="00D84B04">
      <w:pPr>
        <w:pStyle w:val="76"/>
        <w:widowControl w:val="0"/>
        <w:numPr>
          <w:ilvl w:val="0"/>
          <w:numId w:val="1"/>
        </w:numPr>
        <w:tabs>
          <w:tab w:val="left" w:pos="1068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Основные подходы к пониманию межкультурной</w:t>
      </w:r>
    </w:p>
    <w:p w14:paraId="31E8D1A9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>коммуникации в сфере искусства</w:t>
      </w:r>
      <w:r>
        <w:rPr>
          <w:rStyle w:val="77"/>
          <w:b/>
          <w:bCs/>
          <w:color w:val="000000"/>
        </w:rPr>
        <w:tab/>
        <w:t xml:space="preserve"> 18</w:t>
      </w:r>
    </w:p>
    <w:p w14:paraId="4BC00507" w14:textId="77777777" w:rsidR="00D70478" w:rsidRDefault="00D70478" w:rsidP="00D84B04">
      <w:pPr>
        <w:pStyle w:val="76"/>
        <w:widowControl w:val="0"/>
        <w:numPr>
          <w:ilvl w:val="0"/>
          <w:numId w:val="1"/>
        </w:numPr>
        <w:tabs>
          <w:tab w:val="left" w:pos="1111"/>
          <w:tab w:val="right" w:leader="dot" w:pos="8458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>Межкультурная коммуникация в контексте российско</w:t>
      </w:r>
      <w:r>
        <w:rPr>
          <w:rStyle w:val="77"/>
          <w:b/>
          <w:bCs/>
          <w:color w:val="000000"/>
        </w:rPr>
        <w:softHyphen/>
        <w:t>китайских межгосударственных отношений</w:t>
      </w:r>
      <w:r>
        <w:rPr>
          <w:rStyle w:val="77"/>
          <w:b/>
          <w:bCs/>
          <w:color w:val="000000"/>
        </w:rPr>
        <w:tab/>
        <w:t xml:space="preserve"> 31</w:t>
      </w:r>
    </w:p>
    <w:p w14:paraId="208DC612" w14:textId="77777777" w:rsidR="00D70478" w:rsidRDefault="00D70478" w:rsidP="00D84B04">
      <w:pPr>
        <w:pStyle w:val="76"/>
        <w:widowControl w:val="0"/>
        <w:numPr>
          <w:ilvl w:val="0"/>
          <w:numId w:val="1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Формирование взаимодействия в сфере изобразительного</w:t>
      </w:r>
    </w:p>
    <w:p w14:paraId="79F462EC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hyperlink w:anchor="bookmark2" w:tooltip="Current Document" w:history="1">
        <w:r>
          <w:rPr>
            <w:rStyle w:val="77"/>
            <w:b/>
            <w:bCs/>
            <w:color w:val="000000"/>
          </w:rPr>
          <w:t>искусства</w:t>
        </w:r>
        <w:r>
          <w:rPr>
            <w:rStyle w:val="77"/>
            <w:b/>
            <w:bCs/>
            <w:color w:val="000000"/>
          </w:rPr>
          <w:tab/>
          <w:t xml:space="preserve"> 40</w:t>
        </w:r>
      </w:hyperlink>
    </w:p>
    <w:p w14:paraId="2F83F564" w14:textId="77777777" w:rsidR="00D70478" w:rsidRDefault="00D70478" w:rsidP="00D84B04">
      <w:pPr>
        <w:pStyle w:val="76"/>
        <w:widowControl w:val="0"/>
        <w:numPr>
          <w:ilvl w:val="0"/>
          <w:numId w:val="1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Осмысление русского изобразительного искусства</w:t>
      </w:r>
    </w:p>
    <w:p w14:paraId="7469C854" w14:textId="77777777" w:rsidR="00D70478" w:rsidRDefault="00D70478" w:rsidP="00D70478">
      <w:pPr>
        <w:pStyle w:val="76"/>
        <w:tabs>
          <w:tab w:val="right" w:leader="dot" w:pos="9071"/>
        </w:tabs>
        <w:spacing w:after="300" w:line="322" w:lineRule="exact"/>
        <w:ind w:left="580"/>
      </w:pPr>
      <w:r>
        <w:rPr>
          <w:rStyle w:val="77"/>
          <w:b/>
          <w:bCs/>
          <w:color w:val="000000"/>
        </w:rPr>
        <w:t>китайскими искусствоведами</w:t>
      </w:r>
      <w:r>
        <w:rPr>
          <w:rStyle w:val="77"/>
          <w:b/>
          <w:bCs/>
          <w:color w:val="000000"/>
        </w:rPr>
        <w:tab/>
        <w:t xml:space="preserve"> 52</w:t>
      </w:r>
    </w:p>
    <w:p w14:paraId="193737E7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2</w:t>
      </w:r>
    </w:p>
    <w:p w14:paraId="76685648" w14:textId="77777777" w:rsidR="00D70478" w:rsidRDefault="00D70478" w:rsidP="00D70478">
      <w:pPr>
        <w:pStyle w:val="76"/>
        <w:tabs>
          <w:tab w:val="right" w:leader="dot" w:pos="8458"/>
        </w:tabs>
        <w:spacing w:after="0" w:line="322" w:lineRule="exact"/>
        <w:ind w:right="700"/>
      </w:pPr>
      <w:r>
        <w:rPr>
          <w:rStyle w:val="77"/>
          <w:b/>
          <w:bCs/>
          <w:color w:val="000000"/>
        </w:rPr>
        <w:t xml:space="preserve">Художественная жизнь реалистической школы китайской живописи конца </w:t>
      </w:r>
      <w:r>
        <w:rPr>
          <w:rStyle w:val="77"/>
          <w:b/>
          <w:bCs/>
          <w:color w:val="000000"/>
          <w:lang w:val="en-US" w:eastAsia="en-US"/>
        </w:rPr>
        <w:t>XX</w:t>
      </w:r>
      <w:r w:rsidRPr="00D70478">
        <w:rPr>
          <w:rStyle w:val="77"/>
          <w:b/>
          <w:bCs/>
          <w:color w:val="000000"/>
          <w:lang w:eastAsia="en-US"/>
        </w:rPr>
        <w:t xml:space="preserve"> </w:t>
      </w:r>
      <w:r>
        <w:rPr>
          <w:rStyle w:val="77"/>
          <w:b/>
          <w:bCs/>
          <w:color w:val="000000"/>
        </w:rPr>
        <w:t xml:space="preserve">- начала </w:t>
      </w:r>
      <w:r>
        <w:rPr>
          <w:rStyle w:val="77"/>
          <w:b/>
          <w:bCs/>
          <w:color w:val="000000"/>
          <w:lang w:val="en-US" w:eastAsia="en-US"/>
        </w:rPr>
        <w:t>XXI</w:t>
      </w:r>
      <w:r w:rsidRPr="00D70478">
        <w:rPr>
          <w:rStyle w:val="77"/>
          <w:b/>
          <w:bCs/>
          <w:color w:val="000000"/>
          <w:lang w:eastAsia="en-US"/>
        </w:rPr>
        <w:t xml:space="preserve"> </w:t>
      </w:r>
      <w:r>
        <w:rPr>
          <w:rStyle w:val="77"/>
          <w:b/>
          <w:bCs/>
          <w:color w:val="000000"/>
        </w:rPr>
        <w:t>века в контексте российско</w:t>
      </w:r>
      <w:r>
        <w:rPr>
          <w:rStyle w:val="77"/>
          <w:b/>
          <w:bCs/>
          <w:color w:val="000000"/>
        </w:rPr>
        <w:softHyphen/>
        <w:t>китайской межкультурной коммуникации</w:t>
      </w:r>
      <w:r>
        <w:rPr>
          <w:rStyle w:val="77"/>
          <w:b/>
          <w:bCs/>
          <w:color w:val="000000"/>
        </w:rPr>
        <w:tab/>
        <w:t xml:space="preserve"> 66</w:t>
      </w:r>
    </w:p>
    <w:p w14:paraId="1BC2FF4B" w14:textId="77777777" w:rsidR="00D70478" w:rsidRDefault="00D70478" w:rsidP="00D84B04">
      <w:pPr>
        <w:pStyle w:val="76"/>
        <w:widowControl w:val="0"/>
        <w:numPr>
          <w:ilvl w:val="0"/>
          <w:numId w:val="2"/>
        </w:numPr>
        <w:tabs>
          <w:tab w:val="left" w:pos="1092"/>
          <w:tab w:val="left" w:leader="dot" w:pos="8447"/>
          <w:tab w:val="right" w:pos="9071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Высшее Образование в сфере изобразительного искусства</w:t>
      </w:r>
      <w:r>
        <w:rPr>
          <w:rStyle w:val="77"/>
          <w:b/>
          <w:bCs/>
          <w:color w:val="000000"/>
        </w:rPr>
        <w:tab/>
      </w:r>
      <w:r>
        <w:rPr>
          <w:rStyle w:val="77"/>
          <w:b/>
          <w:bCs/>
          <w:color w:val="000000"/>
        </w:rPr>
        <w:tab/>
        <w:t>66</w:t>
      </w:r>
    </w:p>
    <w:p w14:paraId="22C8B2E5" w14:textId="77777777" w:rsidR="00D70478" w:rsidRDefault="00D70478" w:rsidP="00D84B04">
      <w:pPr>
        <w:pStyle w:val="76"/>
        <w:widowControl w:val="0"/>
        <w:numPr>
          <w:ilvl w:val="0"/>
          <w:numId w:val="2"/>
        </w:numPr>
        <w:tabs>
          <w:tab w:val="left" w:pos="1111"/>
          <w:tab w:val="right" w:leader="dot" w:pos="9071"/>
        </w:tabs>
        <w:spacing w:after="0" w:line="322" w:lineRule="exact"/>
        <w:ind w:left="580"/>
        <w:jc w:val="both"/>
      </w:pPr>
      <w:hyperlink w:anchor="bookmark7" w:tooltip="Current Document" w:history="1">
        <w:r>
          <w:rPr>
            <w:rStyle w:val="77"/>
            <w:b/>
            <w:bCs/>
            <w:color w:val="000000"/>
          </w:rPr>
          <w:t>Творческие союзы</w:t>
        </w:r>
        <w:r>
          <w:rPr>
            <w:rStyle w:val="77"/>
            <w:b/>
            <w:bCs/>
            <w:color w:val="000000"/>
          </w:rPr>
          <w:tab/>
          <w:t xml:space="preserve"> 88</w:t>
        </w:r>
      </w:hyperlink>
    </w:p>
    <w:p w14:paraId="0883BC15" w14:textId="77777777" w:rsidR="00D70478" w:rsidRDefault="00D70478" w:rsidP="00D84B04">
      <w:pPr>
        <w:pStyle w:val="76"/>
        <w:widowControl w:val="0"/>
        <w:numPr>
          <w:ilvl w:val="0"/>
          <w:numId w:val="2"/>
        </w:numPr>
        <w:tabs>
          <w:tab w:val="left" w:pos="1111"/>
        </w:tabs>
        <w:spacing w:after="300" w:line="322" w:lineRule="exact"/>
        <w:ind w:left="580"/>
        <w:jc w:val="both"/>
      </w:pPr>
      <w:r>
        <w:rPr>
          <w:rStyle w:val="77"/>
          <w:b/>
          <w:bCs/>
          <w:color w:val="000000"/>
        </w:rPr>
        <w:t>Галереи и арт-рынки, представляющие российскую живопись 106</w:t>
      </w:r>
    </w:p>
    <w:p w14:paraId="40D330A5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3</w:t>
      </w:r>
    </w:p>
    <w:p w14:paraId="00FDFA92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</w:pPr>
      <w:r>
        <w:rPr>
          <w:rStyle w:val="77"/>
          <w:b/>
          <w:bCs/>
          <w:color w:val="000000"/>
        </w:rPr>
        <w:t xml:space="preserve">Межкультурная коммуникация в жизни и творчестве художников-живописцев Китая </w:t>
      </w:r>
      <w:r>
        <w:rPr>
          <w:rStyle w:val="77"/>
          <w:b/>
          <w:bCs/>
          <w:color w:val="000000"/>
        </w:rPr>
        <w:tab/>
        <w:t xml:space="preserve"> 133</w:t>
      </w:r>
    </w:p>
    <w:p w14:paraId="2A82513D" w14:textId="77777777" w:rsidR="00D70478" w:rsidRDefault="00D70478" w:rsidP="00D84B04">
      <w:pPr>
        <w:pStyle w:val="76"/>
        <w:widowControl w:val="0"/>
        <w:numPr>
          <w:ilvl w:val="1"/>
          <w:numId w:val="2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Проявление межкультурных коммуникаций в жизни и</w:t>
      </w:r>
    </w:p>
    <w:p w14:paraId="64734C5A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>творчестве художников-живописцев Китая</w:t>
      </w:r>
      <w:r>
        <w:rPr>
          <w:rStyle w:val="77"/>
          <w:b/>
          <w:bCs/>
          <w:color w:val="000000"/>
        </w:rPr>
        <w:tab/>
        <w:t xml:space="preserve"> 134</w:t>
      </w:r>
    </w:p>
    <w:p w14:paraId="36451112" w14:textId="77777777" w:rsidR="00D70478" w:rsidRDefault="00D70478" w:rsidP="00D84B04">
      <w:pPr>
        <w:pStyle w:val="76"/>
        <w:widowControl w:val="0"/>
        <w:numPr>
          <w:ilvl w:val="1"/>
          <w:numId w:val="2"/>
        </w:numPr>
        <w:tabs>
          <w:tab w:val="left" w:pos="1106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Жанрово-стилевая специфика произведений современных</w:t>
      </w:r>
    </w:p>
    <w:p w14:paraId="12AC9EC8" w14:textId="77777777" w:rsidR="00D70478" w:rsidRDefault="00D70478" w:rsidP="00D70478">
      <w:pPr>
        <w:pStyle w:val="76"/>
        <w:tabs>
          <w:tab w:val="left" w:leader="dot" w:pos="8447"/>
          <w:tab w:val="right" w:pos="9071"/>
        </w:tabs>
        <w:spacing w:after="333" w:line="322" w:lineRule="exact"/>
        <w:ind w:left="580"/>
      </w:pPr>
      <w:r>
        <w:rPr>
          <w:rStyle w:val="77"/>
          <w:b/>
          <w:bCs/>
          <w:color w:val="000000"/>
        </w:rPr>
        <w:t>российских и китайских художников, учившихся в России</w:t>
      </w:r>
      <w:r>
        <w:rPr>
          <w:rStyle w:val="77"/>
          <w:b/>
          <w:bCs/>
          <w:color w:val="000000"/>
        </w:rPr>
        <w:tab/>
      </w:r>
      <w:r>
        <w:rPr>
          <w:rStyle w:val="77"/>
          <w:b/>
          <w:bCs/>
          <w:color w:val="000000"/>
        </w:rPr>
        <w:tab/>
        <w:t>148</w:t>
      </w:r>
    </w:p>
    <w:p w14:paraId="03541DD3" w14:textId="77777777" w:rsidR="00D70478" w:rsidRDefault="00D70478" w:rsidP="00D70478">
      <w:pPr>
        <w:pStyle w:val="76"/>
        <w:tabs>
          <w:tab w:val="right" w:leader="dot" w:pos="9071"/>
        </w:tabs>
        <w:spacing w:after="385" w:line="280" w:lineRule="exact"/>
      </w:pPr>
      <w:r>
        <w:rPr>
          <w:rStyle w:val="77"/>
          <w:b/>
          <w:bCs/>
          <w:color w:val="000000"/>
        </w:rPr>
        <w:t>ЗАКЛЮЧЕНИЕ</w:t>
      </w:r>
      <w:r>
        <w:rPr>
          <w:rStyle w:val="77"/>
          <w:b/>
          <w:bCs/>
          <w:color w:val="000000"/>
        </w:rPr>
        <w:tab/>
        <w:t xml:space="preserve"> 180</w:t>
      </w:r>
    </w:p>
    <w:p w14:paraId="4D08DFD9" w14:textId="77777777" w:rsidR="00D70478" w:rsidRDefault="00D70478" w:rsidP="00D70478">
      <w:pPr>
        <w:pStyle w:val="76"/>
        <w:tabs>
          <w:tab w:val="right" w:leader="dot" w:pos="9071"/>
        </w:tabs>
        <w:spacing w:after="332" w:line="280" w:lineRule="exact"/>
      </w:pPr>
      <w:r>
        <w:rPr>
          <w:rStyle w:val="77"/>
          <w:b/>
          <w:bCs/>
          <w:color w:val="000000"/>
        </w:rPr>
        <w:t>СПИСОК ИСПОЛЬЗОВАННОЙ ЛИТЕРАТУРЫ</w:t>
      </w:r>
      <w:r>
        <w:rPr>
          <w:rStyle w:val="77"/>
          <w:b/>
          <w:bCs/>
          <w:color w:val="000000"/>
        </w:rPr>
        <w:tab/>
        <w:t xml:space="preserve"> 187</w:t>
      </w:r>
    </w:p>
    <w:p w14:paraId="68806A83" w14:textId="21703513" w:rsidR="00D70478" w:rsidRDefault="00D70478" w:rsidP="00D70478">
      <w:pPr>
        <w:pStyle w:val="210"/>
        <w:shd w:val="clear" w:color="auto" w:fill="auto"/>
        <w:spacing w:line="280" w:lineRule="exact"/>
        <w:jc w:val="both"/>
      </w:pPr>
      <w:r>
        <w:lastRenderedPageBreak/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1E93CE2" wp14:editId="0C472C03">
                <wp:simplePos x="0" y="0"/>
                <wp:positionH relativeFrom="margin">
                  <wp:posOffset>5612765</wp:posOffset>
                </wp:positionH>
                <wp:positionV relativeFrom="paragraph">
                  <wp:posOffset>-20320</wp:posOffset>
                </wp:positionV>
                <wp:extent cx="289560" cy="177800"/>
                <wp:effectExtent l="2540" t="1905" r="3175" b="1270"/>
                <wp:wrapSquare wrapText="left"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68E5" w14:textId="77777777" w:rsidR="00D70478" w:rsidRDefault="00D70478" w:rsidP="00D70478">
                            <w:pPr>
                              <w:pStyle w:val="21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93CE2" id="_x0000_t202" coordsize="21600,21600" o:spt="202" path="m,l,21600r21600,l21600,xe">
                <v:stroke joinstyle="miter"/>
                <v:path gradientshapeok="t" o:connecttype="rect"/>
              </v:shapetype>
              <v:shape id="Надпись 84" o:spid="_x0000_s1026" type="#_x0000_t202" style="position:absolute;left:0;text-align:left;margin-left:441.95pt;margin-top:-1.6pt;width:22.8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" filled="f" stroked="f">
                <v:textbox style="mso-fit-shape-to-text:t" inset="0,0,0,0">
                  <w:txbxContent>
                    <w:p w14:paraId="0BD168E5" w14:textId="77777777" w:rsidR="00D70478" w:rsidRDefault="00D70478" w:rsidP="00D70478">
                      <w:pPr>
                        <w:pStyle w:val="21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222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ПРИЛОЖЕНИЕ</w:t>
      </w:r>
      <w:r>
        <w:br w:type="page"/>
      </w:r>
    </w:p>
    <w:p w14:paraId="3A857ED0" w14:textId="07E6EB75" w:rsidR="00D36C9B" w:rsidRDefault="00D36C9B" w:rsidP="00D70478"/>
    <w:p w14:paraId="40E39C1B" w14:textId="76E87EEA" w:rsidR="00D70478" w:rsidRDefault="00D70478" w:rsidP="00D70478"/>
    <w:p w14:paraId="5059BF4F" w14:textId="1E0D0D8C" w:rsidR="00D70478" w:rsidRDefault="00D70478" w:rsidP="00D70478"/>
    <w:p w14:paraId="0D944A57" w14:textId="77777777" w:rsidR="00D70478" w:rsidRDefault="00D70478" w:rsidP="00D70478">
      <w:pPr>
        <w:pStyle w:val="30"/>
        <w:shd w:val="clear" w:color="auto" w:fill="auto"/>
        <w:spacing w:before="0" w:after="467" w:line="280" w:lineRule="exact"/>
        <w:ind w:firstLine="0"/>
      </w:pPr>
      <w:r>
        <w:rPr>
          <w:rStyle w:val="3"/>
          <w:b/>
          <w:bCs/>
          <w:color w:val="000000"/>
        </w:rPr>
        <w:t>ЗАКЛЮЧЕНИЕ</w:t>
      </w:r>
    </w:p>
    <w:p w14:paraId="0CF4B61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Постоянные процессы взаимодействия между Россией и Китаем формирует различные формы коммуникации. Особый интерес представляет межкультурная коммуникация, позволяющая прослеживать внешние и внутренние процессы взаимодействия и взаимовлияния как между культурами в целом, так и отдельными личностями.</w:t>
      </w:r>
    </w:p>
    <w:p w14:paraId="22FA329A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Изучение особенностей межкультурных коммуникаций в сфере изобразительного искусства позволяет говорить о том, что, во-первых, коммуникативные процессы в изобразительном искусстве тесно связаны с общеисторическими и социально-политическими тенденциями, которые характеризуют межгосударственные отношения между нашими странами. Изучение истории российско-китайских отношений на протяжении многих веков показывает, что значительное место во взаимодействии и взаимном интересе между странами лежит в сфере искусства, как наивысшей с точки зрений художественной ценности и эстетики, формы объективизации культуры.</w:t>
      </w:r>
    </w:p>
    <w:p w14:paraId="7373F1CB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Во-вторых, определено, что тенденции межкультурных связей России и Китая в сфере изобразительного искусства, которые рассматриваются в период конца </w:t>
      </w:r>
      <w:r>
        <w:rPr>
          <w:rStyle w:val="21"/>
          <w:color w:val="000000"/>
          <w:lang w:val="en-US" w:eastAsia="en-US"/>
        </w:rPr>
        <w:t>XX</w:t>
      </w:r>
      <w:r>
        <w:rPr>
          <w:rStyle w:val="21"/>
          <w:color w:val="000000"/>
        </w:rPr>
        <w:t xml:space="preserve">-начала XXI века, имеют четко прослеживаемые предпосылки и укладываются в общую концепцию развития взаимоотношений между странами. Доминирующую роль здесь играет реалистическая школа живописи, которая </w:t>
      </w:r>
      <w:r>
        <w:rPr>
          <w:rStyle w:val="21"/>
          <w:color w:val="000000"/>
        </w:rPr>
        <w:lastRenderedPageBreak/>
        <w:t>наиболее полно воспринимается в Китае и отражает художественные стремления и эстетические предпочтения китайского официального живописного искусства. В настоящее время русская живописная школа активно изучается в Китае как на уровне художественного образования, так и на уровне научного осмысления китайскими исследователями. Установлено, что специфика российско</w:t>
      </w:r>
      <w:r>
        <w:rPr>
          <w:rStyle w:val="21"/>
          <w:color w:val="000000"/>
        </w:rPr>
        <w:softHyphen/>
        <w:t>китайской межкультурной коммуникации в области реалистического искусства отражается в исследованиях китайских искусствоведов русского и советского искусства, она тесно связана с этапами построения межгосударственных отношений и постепенного усвоения реалистического искусства, прошедшего путь от подражания к глубинному осмыслению.</w:t>
      </w:r>
    </w:p>
    <w:p w14:paraId="420FED43" w14:textId="77777777" w:rsidR="00D70478" w:rsidRDefault="00D70478" w:rsidP="00D70478">
      <w:pPr>
        <w:pStyle w:val="210"/>
        <w:shd w:val="clear" w:color="auto" w:fill="auto"/>
        <w:tabs>
          <w:tab w:val="left" w:pos="3888"/>
          <w:tab w:val="left" w:pos="6154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В-третьих, рассмотрение существующих форм и многочисленных типы межкультурных коммуникаций, которые рассматриваются отечественными и зарубежными исследователями позволяет говорить о том, что изобразительное искусство наряду с общеизвестными признаками коммуникационных связей обладает рядом специфических черт, которые позволяют говорить о</w:t>
      </w:r>
      <w:r>
        <w:rPr>
          <w:rStyle w:val="21"/>
          <w:color w:val="000000"/>
        </w:rPr>
        <w:tab/>
        <w:t>формировании</w:t>
      </w:r>
      <w:r>
        <w:rPr>
          <w:rStyle w:val="21"/>
          <w:color w:val="000000"/>
        </w:rPr>
        <w:tab/>
        <w:t>специфических форм</w:t>
      </w:r>
    </w:p>
    <w:p w14:paraId="780DE832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коммуникационных связей. Так, сюда входит и внутриличностное восприятие и рецепция российского искусства китайскими художниками, и межличностное общение на самых разных уровнях, и контакты между художественными группами и организациями, и художественные мероприятия - выставки, медийная деятельность, что относится уже к массовой коммуникации.</w:t>
      </w:r>
    </w:p>
    <w:p w14:paraId="4891C398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По направленности информационного потока, степени инициативности акторов и степени организованности можно выделить горизонтальные и </w:t>
      </w:r>
      <w:r>
        <w:rPr>
          <w:rStyle w:val="21"/>
          <w:color w:val="000000"/>
        </w:rPr>
        <w:lastRenderedPageBreak/>
        <w:t>вертикальные, односторонние и двусторонние, стихийные и организованные коммуникации.</w:t>
      </w:r>
    </w:p>
    <w:p w14:paraId="1B097AC2" w14:textId="77777777" w:rsidR="00D70478" w:rsidRDefault="00D70478" w:rsidP="00D70478">
      <w:pPr>
        <w:pStyle w:val="210"/>
        <w:shd w:val="clear" w:color="auto" w:fill="auto"/>
        <w:tabs>
          <w:tab w:val="left" w:pos="2117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Целевой критерий, как указывалось выше, порождает всё многообразие форм коммуникации. Так, информативные коммуникации имеют своими формами выставки, презентации, издание иностранной литературы, культурное просвещение и досуг туристов. Образовательные коммуникации подразумевают такие формы, как лекции, мастер-классы и другие формы обучения китайских студентов-художников в российских вузах. Научные коммуникации</w:t>
      </w:r>
      <w:r>
        <w:rPr>
          <w:rStyle w:val="21"/>
          <w:color w:val="000000"/>
        </w:rPr>
        <w:tab/>
        <w:t>осуществляются посредством форм совместных</w:t>
      </w:r>
    </w:p>
    <w:p w14:paraId="55B72477" w14:textId="77777777" w:rsidR="00D70478" w:rsidRDefault="00D70478" w:rsidP="00D70478">
      <w:pPr>
        <w:pStyle w:val="210"/>
        <w:shd w:val="clear" w:color="auto" w:fill="auto"/>
        <w:tabs>
          <w:tab w:val="left" w:pos="2117"/>
        </w:tabs>
        <w:spacing w:line="480" w:lineRule="exact"/>
        <w:jc w:val="both"/>
      </w:pPr>
      <w:r>
        <w:rPr>
          <w:rStyle w:val="21"/>
          <w:color w:val="000000"/>
        </w:rPr>
        <w:t>конференций, дискуссий, диспутов. Медиа-коммуникации возникают в таких формах, как</w:t>
      </w:r>
      <w:r>
        <w:rPr>
          <w:rStyle w:val="21"/>
          <w:color w:val="000000"/>
        </w:rPr>
        <w:tab/>
        <w:t>брифинги и пресс-конференции. Пропагандистские</w:t>
      </w:r>
    </w:p>
    <w:p w14:paraId="6DFEC7B6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коммуникации могут быть осуществлены, например, в форме проектов, направленных на распространение своей культуры в другой стране).</w:t>
      </w:r>
    </w:p>
    <w:p w14:paraId="62409331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Наконец, политические и законодательные коммуникации подразумевают такие формы, как разнообразные контакты между правительственными органами двух стран в сфере культуры.</w:t>
      </w:r>
    </w:p>
    <w:p w14:paraId="625BA53A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Художественная жизнь китайской реалистической школы демонстрирует формы российско-китайского взаимодействия на уровне системы высшего образования, деятельности творческих союзов, галерей и арт-рынка, свидетельствующих о значимости русской /советской школы реалистической </w:t>
      </w:r>
      <w:r>
        <w:rPr>
          <w:rStyle w:val="21"/>
          <w:color w:val="000000"/>
        </w:rPr>
        <w:lastRenderedPageBreak/>
        <w:t>масляной живописи для профессионалов и ценителей искусства в Китае.</w:t>
      </w:r>
    </w:p>
    <w:p w14:paraId="70DE8785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Изучение особенностей художественной жизни реалистической школы китайской живописи конца </w:t>
      </w:r>
      <w:r>
        <w:rPr>
          <w:rStyle w:val="21"/>
          <w:color w:val="000000"/>
          <w:lang w:val="en-US" w:eastAsia="en-US"/>
        </w:rPr>
        <w:t>XX</w:t>
      </w:r>
      <w:r>
        <w:rPr>
          <w:rStyle w:val="21"/>
          <w:color w:val="000000"/>
        </w:rPr>
        <w:t>-начала XXI века позволило установить ряд коммуникации форм, к которым относятся восприятие системы художественного образования как на уровне структуры в целом, так и в рамках международных обменов студентами, обучающимися в российских и китайских художественных вузах. Высокий уровень масштабности данной коммуникации подтверждается наличием в ней всего спектра ранее обозначенных критериев. Ещё одной особенностью российско-китайской межкультурной коммуникации в сфере художественного образования является сохранение в ней вертикального и одностороннего типов коммуникации. Большинство мероприятий в сфере художественного образования по-прежнему транслирует в Китай российский опыт, но не наоборот. Китайские студенты с большой охотой едут учиться в художественные образовательные учреждения России, в то время как российские студенты не спешат учиться основам реалистического искусства в Китае.</w:t>
      </w:r>
    </w:p>
    <w:p w14:paraId="2401F74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Творческие союзы могут быть названы специфической и даже в чём-то уникальной формой российско-китайской межкультурной коммуникации. Это двусторонняя горизонтальная коммуникация, которая способна работать вместе с тем как на межорганизационном, так и на межличностном уровне. Так, организованный в 2008 г. Филиал китайских художников в России (Советском Союзе) служит не только собранием китайских художников с общей судьбой, но и каналом коммуникации с различными институтами и людьми в России, где практически у всех членов Филиала остались определённые связи, где их помнят и уважают. Поэтому помимо собственно внутрикитайских функций, функция </w:t>
      </w:r>
      <w:r>
        <w:rPr>
          <w:rStyle w:val="21"/>
          <w:color w:val="000000"/>
        </w:rPr>
        <w:lastRenderedPageBreak/>
        <w:t>межкультурной коммуникации для Филиала китайских художников также присутствует. То же в целом касается и Союза китайских художников и музыкантов в России. В свою очередь, для Китайско-российской ассоциации масляной живописи функция межкультурной коммуникации является первичной. Особенность этой ассоциации в том, что коммуникация в её рамках является двусторонней и горизонтальной: ассоциация старается в организации выставочного процесса уделять равное внимание как российским, так и китайским художникам.</w:t>
      </w:r>
    </w:p>
    <w:p w14:paraId="7A77F8F1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Еще одной выявленной автором формой межкультурной коммуникации становится взаимодействие на уровне галерей и арт-рынка в целом. Рассмотренные крупнейшие галереи и арт-рынки Китая позволяют говорить о том, что русское искусство реалистической школы активно выставляется в Китае и имеет высокий спрос. Китайские арт-рынки - та форма межкультурной коммуникации, которая принадлежит к стихийному её типу, а следовательно, отражает наиболее естественные тенденции данной коммуникации. Выше мы отмечали, что межкультурная коммуникация в сферах художественного образования и отчасти выставочного процесса может быть отнесена к одностороннему типу в том числе и потому, что главный интерес российской стороны нередко сугубо коммерческий. Арт- рынки реализуют данную коммуникативную функцию в полной мере. И поскольку здесь обе стороны равным образом заинтересованы в конечном результате, коммуникация как таковая приобретает поистине двусторонний характер: каждая из сторон получает то, что хочет: китайская сторона - произведения искусства, российская сторона - деньги. Однако, как легко заметить, в своём межкультурном аспекте коммуникация остаётся односторонней: культурный продут получает только китайская сторона.</w:t>
      </w:r>
    </w:p>
    <w:p w14:paraId="67961E73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Наряду с внешними формами межкультурных коммуникаций были выявлены внутренние, глубинные формы взаимодействия, свидетельствующие о проникновении русской культуры на образно-стилевом и жанровом уровнях в реалистическую школу Китая.</w:t>
      </w:r>
    </w:p>
    <w:p w14:paraId="051B0702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Рассмотренные биографии живописцев, как российских в контексте Китая, так и собственно китайских, проливают свет на их участие в российско-китайской межкультурной коммуникации в сфере изобразительного искусства, и, главное, способны выявить некоторые особенности данной коммуникации. Российско-китайский межкультурный опыт подтверждает, что изобразительное искусство - та область, в которой межкультурная коммуникация развивается под влиянием таланта и харизмы отдельных личностей.</w:t>
      </w:r>
    </w:p>
    <w:p w14:paraId="78E89A69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рассматриваемый исторический период сложилось второе поколение китайских художников, воспринимающих русскую живописную академическую школу и получающих образование в России. Кроме того, значительный вклад в осуществление уже опосредованного влияния русской культурной традиции оказывают китайские художники первого поколения, которые получили образование в России еще в советское время и продолжают нести адаптированную традицию русской школы в художественных ученых заведениях Китая. Такие художники, как например, Ли Тяньсян, Цянь Шаоу, Линь Ган, Цюань Шанши, Сяо Фэн, Ло Гунлю, Цянь Шаоу, Сун Тао, Е Нань, Дай Шихэ, Ван Теню, Ван Шаолунь, Чжун Цзяньцю и др. Наблюдение над межличностным взаимодействием на уровне учитель-ученик, друг-коллега, формирует тесные внутренние межкультурные связи, которые влияют на сознание и подсознание, мировоззрение обеих сторон.</w:t>
      </w:r>
    </w:p>
    <w:p w14:paraId="0E78A150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В исследовании выявлены примеры плодотворных творческих союзов российских и китайских художников, когда в ходе межличностной коммуникации двух творческих натур происходит их художественное взаимообогащение, что выражается в их новых произведениях. Таковы примеры взаимодействия китайских и русских художников Юрия Калюты и Ван Шаолунь, Д. Ю. Васильева и Чжун Цзяньцю и др. позволяют объективно прослеживать влияние на формирование авторского художественного стиля. Это добрый знак, который говорит, что в российско-китайской межкультурной коммуникации в сфере изобразительного искусства тенденция односторонности ослабевает, и обе стороны начинают испытывать взаимный творческий интерес.</w:t>
      </w:r>
    </w:p>
    <w:p w14:paraId="44D13495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Подтверждением коммуникации служит искусствоведческий анализ жанровой и образно-стилевой специфики произведений изобразительного искусства художников второго поколения реалистической школы. Установлено, что существуют специфические особенности в восприятии академических жанров изобразительного искусства, которые были адаптированы в Китае с учетом менталитета и исторических условий. Русские художники, особенно художники двух поколений Санкт- Петербургского государственного академического института живописи, скульптуры и архитектуры имени И. Е. Репина имеют большое влияние на китайское искусство, а также являются основой китайско-российских художественных обменов. Китайские художники дополнительно компенсировали недостатки китайской живописи, изучая преимущества русского искусства. Это привело к значительному прогрессу в искусстве живописи по всему Китаю и оказало глубокое влияние.</w:t>
      </w:r>
    </w:p>
    <w:p w14:paraId="28DB0CA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Не менее интересные формы взаимодействия дает изучение образно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стилевой специфики. Русское реалистическое искусство долгое время оказывает влияние на развитие китайского искусства. На первый взгляд, Россия имеет культурную мощь в основном в распространение культурных ценностей в Китай, но в, тоже время подвержена влиянию древней китайской цивилизации. Данная ситуация постоянно связана с обменом между Китаем и Россией в области изобразительного искусства, и прекрасные художники нового поколения Китая учились в России.</w:t>
      </w:r>
    </w:p>
    <w:p w14:paraId="768111F2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Таким образом, времена меняются, расстояния сжимаются,</w:t>
      </w:r>
    </w:p>
    <w:p w14:paraId="509A625B" w14:textId="77777777" w:rsidR="00D70478" w:rsidRDefault="00D70478" w:rsidP="00D70478">
      <w:pPr>
        <w:pStyle w:val="210"/>
        <w:shd w:val="clear" w:color="auto" w:fill="auto"/>
        <w:tabs>
          <w:tab w:val="left" w:pos="1884"/>
          <w:tab w:val="left" w:pos="3142"/>
          <w:tab w:val="left" w:pos="4678"/>
        </w:tabs>
        <w:spacing w:line="480" w:lineRule="exact"/>
        <w:jc w:val="both"/>
      </w:pPr>
      <w:r>
        <w:rPr>
          <w:rStyle w:val="21"/>
          <w:color w:val="000000"/>
        </w:rPr>
        <w:t>коммуникации между людьми принимают более частый и интенсивный характер. В эпоху стремительной глобализации на фоне современных тенденций и идейных течений западного искусства реалистическая живопись на первый</w:t>
      </w:r>
      <w:r>
        <w:rPr>
          <w:rStyle w:val="21"/>
          <w:color w:val="000000"/>
        </w:rPr>
        <w:tab/>
        <w:t>взгляд</w:t>
      </w:r>
      <w:r>
        <w:rPr>
          <w:rStyle w:val="21"/>
          <w:color w:val="000000"/>
        </w:rPr>
        <w:tab/>
        <w:t>выглядит</w:t>
      </w:r>
      <w:r>
        <w:rPr>
          <w:rStyle w:val="21"/>
          <w:color w:val="000000"/>
        </w:rPr>
        <w:tab/>
        <w:t>отсталым стилевым направление</w:t>
      </w:r>
    </w:p>
    <w:p w14:paraId="4DBC1732" w14:textId="77777777" w:rsidR="00D70478" w:rsidRDefault="00D70478" w:rsidP="00D70478">
      <w:pPr>
        <w:pStyle w:val="210"/>
        <w:shd w:val="clear" w:color="auto" w:fill="auto"/>
        <w:tabs>
          <w:tab w:val="left" w:pos="1884"/>
          <w:tab w:val="left" w:pos="3142"/>
          <w:tab w:val="left" w:pos="4678"/>
        </w:tabs>
        <w:spacing w:line="480" w:lineRule="exact"/>
        <w:jc w:val="both"/>
      </w:pPr>
      <w:r>
        <w:rPr>
          <w:rStyle w:val="21"/>
          <w:color w:val="000000"/>
        </w:rPr>
        <w:t>изобразительного искусства. Однако на сегодняшний день по-прежнему сохраняется огромный потенциал развития реалистической живописи, культурное</w:t>
      </w:r>
      <w:r>
        <w:rPr>
          <w:rStyle w:val="21"/>
          <w:color w:val="000000"/>
        </w:rPr>
        <w:tab/>
        <w:t>наследие</w:t>
      </w:r>
      <w:r>
        <w:rPr>
          <w:rStyle w:val="21"/>
          <w:color w:val="000000"/>
        </w:rPr>
        <w:tab/>
        <w:t>которого</w:t>
      </w:r>
      <w:r>
        <w:rPr>
          <w:rStyle w:val="21"/>
          <w:color w:val="000000"/>
        </w:rPr>
        <w:tab/>
        <w:t>нельзя переоценить. Китайское</w:t>
      </w:r>
    </w:p>
    <w:p w14:paraId="43D2C6B6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реалистическое искусство, продолжая существовать на базисе, заложенном русским и советским реализмом, не только пытается синтезировать его с элементами национальной живописи, но и смело экспериментирует с новыми веяниями, рождая свой, особый стиль, ставший неотъемлемой частью национального художественного стиля, гармонично вписываются в многовековую культуру Китая, составляя его своеобразие и самобытность.</w:t>
      </w:r>
    </w:p>
    <w:p w14:paraId="081DFD07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Будучи важной частью мира искусства Китая, второе поколение художников, обучавшихся в России, стремится направить воздействие русской реалистической живописи на благо китайского общества и народа и реализуют свои идеи в адаптированном под национальные особенности восприятия историческом, бытовом и пейзажном жанрах. Полагая, что назначение реалистической живописи в развитии лучших душевных качеств человека, китайские мастера стараются стимулировать развитие этого направления изобразительного искусства, содействуя установлению социально-культурной гармонии и прогрессу Китая. Китайские живописцы, обучавшиеся в России, высоко держат свое знамя, непрерывно совершенствуясь в различных направлениях изобразительного искусства. Они вдыхают новую жизнь в современный мир китайского творчества, позволяя увидеть прошлое, настоящее и будущее Поднебесной через ее культурную составляющую, заполняя новые страницы её истории.</w:t>
      </w:r>
    </w:p>
    <w:p w14:paraId="75CD7126" w14:textId="47BDB728" w:rsidR="00D70478" w:rsidRDefault="00D70478" w:rsidP="00D70478"/>
    <w:p w14:paraId="54285A7D" w14:textId="2B2448E6" w:rsidR="002D0F0E" w:rsidRDefault="002D0F0E" w:rsidP="00D70478"/>
    <w:p w14:paraId="60B7D7B7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Заключение</w:t>
      </w:r>
    </w:p>
    <w:p w14:paraId="07DB8451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 работе проведено исследование заключения эксперта как средства доказывания в гражданском и арбитражном процессе. Сравнение правового регулирования доказывания в гражданском и арбитражном процессе осуществлялось с применением метода сравнительного правоведения</w:t>
      </w:r>
    </w:p>
    <w:p w14:paraId="0B6FBC12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Автор изучил относящиеся к теме исследования научные работы, нормативно-правовые акты с учетом их изменений, а также Проект Федерального закона № 306504-6 «О судебно-экспертной деятельности в Российской Федерации».</w:t>
      </w:r>
    </w:p>
    <w:p w14:paraId="588EAB32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 xml:space="preserve">Значительное место в работе занимает анализ судебной практики по вопросам назначения и проведения судебной экспертизы, а также использования судами заключений экспертов при разрешении гражданских споров. В частности, в работе проанализированы положения Постановления Пленума Высшего арбитражного суда РФ от 04.04.2014г. </w:t>
      </w:r>
      <w:r w:rsidRPr="00F6628F">
        <w:rPr>
          <w:rFonts w:ascii="Times New Roman" w:hAnsi="Times New Roman" w:cs="Times New Roman"/>
          <w:sz w:val="28"/>
          <w:szCs w:val="28"/>
        </w:rPr>
        <w:lastRenderedPageBreak/>
        <w:t>№ 23 «О некоторых вопросах практики применения арбитражными судами законодательства об экспертизе», а также ранее действующего Постановление Пленума Высшего арбитражного суда РФ от 20.12.2006г. № 66 «О некоторых вопросах практики применения арбитражными судами законодательства об экспертизе» и использованы материалы судебных дел, рассмотренных судами общей юрисдикции и арбитражными судами.</w:t>
      </w:r>
    </w:p>
    <w:p w14:paraId="744A80E4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На основе анализа судебной практики в работе выявлены пробелы в законодательстве, которые снижают эффективность использования института судебной экспертизы в гражданском судопроизводстве. Предложено решение теоретических и практических проблем, которым ранее не было уделено достаточно внимания.</w:t>
      </w:r>
    </w:p>
    <w:p w14:paraId="693FA1F6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 первой главе диссертации дана общая характеристика судебной экспертизы как формы использования специальных знаний в гражданском и арбитражном процессе, а также разграничена деятельности эксперта и специалиста.</w:t>
      </w:r>
    </w:p>
    <w:p w14:paraId="49355360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173</w:t>
      </w:r>
    </w:p>
    <w:p w14:paraId="1DCC7121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 работе предложена концепция, согласно которой необходимо соблюдение установленных автором на этапе назначения судебной экспертизы ряда условий, среди которых: обладание экспертом специальными знаниями; вид экспертизы; сроки проведения судебной экспертизы; предложение кандидатур экспертов. Предполагается, что такой подход позволит суду общей юрисдикции обеспечить выбор надлежащего эксперта, а также полноту и верное направление исследования.</w:t>
      </w:r>
    </w:p>
    <w:p w14:paraId="471CBE01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 ходе исследования выявлено отсутствие легального определения понятия экспертной организации. Предложено такое определение, а также альтернативные требования, предъявляемые к негосударственным судебно-экспертным организациям.</w:t>
      </w:r>
    </w:p>
    <w:p w14:paraId="34B1FCFD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Анализ процессуального статуса эксперта на разных этапах осуществления им процессуальных функций позволил автору сделать вывод о том, что объем прав и обязанностей эксперта по ГПК РФ и АПК РФ не одинаков. Автор полагает, что такое положение создает неоправданные различия в статусе экспертов, привлекаемых для проведения исследований в разных видах гражданского судопроизводства, и приводит к неравнозначности данных ими заключений. Представляется, что нормы о правах и обязанностях эксперта в гражданском и арбитражном процессе следует унифицировать.</w:t>
      </w:r>
    </w:p>
    <w:p w14:paraId="2B433A79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lastRenderedPageBreak/>
        <w:t>Предложено различать статус эксперта на этапе проведения судебной экспертизы и на этапе исследования заключения эксперта в судебном заседании.</w:t>
      </w:r>
    </w:p>
    <w:p w14:paraId="4D26EF26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Выявлены недостатки правового регулирования порядка проведения судебной экспертизы лицом, назначенным судом, и прав лиц, участвующих в деле, на этапе проведения исследования. Видится целесообразным указывать в определении суда на необходимость обеспечения присутствия лиц, участвующих в деле, при проведении экспертизы. Для обеспечения указанного права предлагается установить процессуально-правовую</w:t>
      </w:r>
    </w:p>
    <w:p w14:paraId="69B171AC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174</w:t>
      </w:r>
    </w:p>
    <w:p w14:paraId="5762D0C3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ответственность эксперта за нарушение им прав лиц, участвующих в деле, присутствовать при проведении судебной экспертизы</w:t>
      </w:r>
    </w:p>
    <w:p w14:paraId="04EFBDA8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Установлено отсутствие в правовом регулировании судебной экспертизы процессуального порядка сбора и передачи документов, образцов и материалов эксперту. Установлено также отсутствие механизма обеспечения права лиц, участвующих в деле, присутствовать при проведении судебной экспертизы, а также ответственности эксперта за виновное нарушение данного права.</w:t>
      </w:r>
    </w:p>
    <w:p w14:paraId="7C4B9052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Сделаны соответствующие предложения по устранению данных пробелов. В частности, автор пришел к выводу о необходимости установления процессуально-правовой ответственности эксперта в виде штрафа и компенсации лицам, чьи права нарушены, расходов на проезд к месту проведения экспертизы и в связи с потерей времени.</w:t>
      </w:r>
    </w:p>
    <w:p w14:paraId="79ECA620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Обоснована необходимость обеспечения лиц, участвующих в деле, копиями заключения эксперта заблаговременно до судебного заседания.</w:t>
      </w:r>
    </w:p>
    <w:p w14:paraId="06AE2213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На основе теоретических выводов, диссертантом сформулированы предложения по совершенствованию процессуального законодательства, посвященного правовому положению экспертов, с учетом возможной унификации норм этого законодательства. В их числе следующие предложения:</w:t>
      </w:r>
    </w:p>
    <w:p w14:paraId="615DDD89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1) заменить установленное в ч. 4 ст. 55 АПК право эксперта «отказаться от дачи заключения по вопросам, выходящим за пределы его специальных знаний, а также в случае, если представленные ему материалы недостаточны для дачи заключения», обязанностью суда (аналогично положению абз. 3 ст. 16 Закона о ГСЭД).</w:t>
      </w:r>
    </w:p>
    <w:p w14:paraId="6908B82B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lastRenderedPageBreak/>
        <w:t>2) Дополнить ст. 85 ГПК и ст. 55 АПК следующим положением: «Эксперт также имеет иные права и обязанности, предусмотренные действующим законодательством», что позволит обеспечить применение норм Закона о ГСЭД ко всем лицам, привлеченным в качестве экспертов. На практике нередко о существовании этого закона забывают.</w:t>
      </w:r>
    </w:p>
    <w:p w14:paraId="0E8E3CF0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175</w:t>
      </w:r>
    </w:p>
    <w:p w14:paraId="01C48B93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2. Ввести в ГПК и АПК нормы о процессуально-правовой ответственности эксперта за нарушение им прав лиц, участвующих в деле, присутствовать при проведении судебной экспертизы, а именно:</w:t>
      </w:r>
    </w:p>
    <w:p w14:paraId="6C2B2558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1) дополнить статью 85 ГПК РФ частью 6 следующего содержания: «За нарушение прав лиц, участвующих в деле, присутствовать при проведении экспертизы, на эксперта может быть наложен судебный штраф в порядке и в размерах, которые установлены в главе 8 настоящего Кодекса. Кроме того, на него может быть возложена обязанность выплаты лицам, чьи права нарушены, компенсации расходов на проезд к месту проведения экспертизы, а также денежной компенсации в связи с потерей времени».</w:t>
      </w:r>
    </w:p>
    <w:p w14:paraId="4E44A1D9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2) внести в часть 6 статьи 55 АПК абзац следующего содержания: «За нарушение прав лиц, участвующих в деле, присутствовать при проведении экспертизы, на эксперта может быть наложен судебный штраф в порядке и в размерах, которые установлены в главе 11 настоящего Кодекса. Кроме того, на него может быть возложена обязанность выплаты лицам, чьи права нарушены, компенсации расходов на проезд к месту проведения экспертизы, а также денежной компенсации в связи с потерей времени».</w:t>
      </w:r>
    </w:p>
    <w:p w14:paraId="3A01DC92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3. Закрепить в ГПК и АПК порядок получения судом материалов и образцов, необходимых для проведения судебной экспертизы:</w:t>
      </w:r>
    </w:p>
    <w:p w14:paraId="7477A59A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«В случае, если для проведения судебной экспертизы требуется предоставить эксперту документы и материалы, которые имеются у лиц, участвующих в деле, или иных лиц, суд вправе истребовать их в порядке, установленном настоящим Кодексом для истребования доказательств.</w:t>
      </w:r>
    </w:p>
    <w:p w14:paraId="2D18F99C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Полученные документы и материалы (в форме надлежащим образом заверенных копий) приобщаются в материалы дела на основании определения суда.</w:t>
      </w:r>
    </w:p>
    <w:p w14:paraId="322CA878" w14:textId="77777777" w:rsidR="002D0F0E" w:rsidRPr="00F6628F" w:rsidRDefault="002D0F0E" w:rsidP="002D0F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28F">
        <w:rPr>
          <w:rFonts w:ascii="Times New Roman" w:hAnsi="Times New Roman" w:cs="Times New Roman"/>
          <w:sz w:val="28"/>
          <w:szCs w:val="28"/>
        </w:rPr>
        <w:t>Суд вправе получать образцы почерка или иные образцы для сравнительного исследования у лиц, участвующих в деле, в целях передачи их эксперту».</w:t>
      </w:r>
    </w:p>
    <w:p w14:paraId="0FC092B5" w14:textId="77777777" w:rsidR="00771A30" w:rsidRDefault="00771A30" w:rsidP="00771A30">
      <w:pPr>
        <w:pStyle w:val="222"/>
        <w:keepNext/>
        <w:keepLines/>
        <w:shd w:val="clear" w:color="auto" w:fill="auto"/>
        <w:ind w:left="2700"/>
      </w:pPr>
      <w:bookmarkStart w:id="0" w:name="bookmark34"/>
      <w:r>
        <w:rPr>
          <w:rStyle w:val="221"/>
          <w:color w:val="000000"/>
        </w:rPr>
        <w:lastRenderedPageBreak/>
        <w:t>ОБЩИЕ ВЫВОДЫ И РЕКОМЕНДАЦИИ</w:t>
      </w:r>
      <w:bookmarkEnd w:id="0"/>
    </w:p>
    <w:p w14:paraId="69C8D656" w14:textId="77777777" w:rsidR="00771A30" w:rsidRDefault="00771A30" w:rsidP="00771A30">
      <w:pPr>
        <w:pStyle w:val="210"/>
        <w:shd w:val="clear" w:color="auto" w:fill="auto"/>
        <w:spacing w:line="413" w:lineRule="exact"/>
        <w:ind w:firstLine="600"/>
      </w:pPr>
      <w:r>
        <w:rPr>
          <w:rStyle w:val="21"/>
          <w:color w:val="000000"/>
        </w:rPr>
        <w:t>Исследование эволюции исполнительской техники на бас-гитаре в джазовой музыке с середины прошлого века до начала XXI века, в ее технологическом, историческом и исполнительском аспектах привело к решению комплексной научно-практической проблемы, обусловленной формированием общей картины развития исполнительской техники на бас-гитаре, что в значительной мере развивает и обогащает её представление о практической ценности и значении в отечественной музыкальной культуре. Решение обозначенной научно-творческой проблемы привело к следующим основным выводам.</w:t>
      </w:r>
    </w:p>
    <w:p w14:paraId="58D37E01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>Появление современных конструкций струнных басовых прототипов с электрическим усилением отражает эволюцию технологических, экономических и музыкальных факторов, обусловленных инновациями современной музыки, потребовавшими более яркого звучания инструмента басового диапазона [152].</w:t>
      </w:r>
    </w:p>
    <w:p w14:paraId="4495C142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>В диссертации проведено историческое исследование исполнительских техник родственных бас-гитаре хордофонных инструментов: контрабаса, классической гитары, электрогитары, повлиявших на формирование исполнительской техники на бас-гитаре. Было продемонстрировано, что, несмотря на общую терминологию, используемую для данных инструментов, суть этих техник различна [28; 37].</w:t>
      </w:r>
    </w:p>
    <w:p w14:paraId="4023D319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 xml:space="preserve">Определена роль эстрадной и джазовой музыки как важной составляющей распространения электрической бас-гитары практически во всех современных исполнительских составах джазовой музыки (от малых </w:t>
      </w:r>
      <w:r w:rsidRPr="00771A30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combo</w:t>
      </w:r>
      <w:r w:rsidRPr="00771A30">
        <w:rPr>
          <w:rStyle w:val="28"/>
          <w:color w:val="000000"/>
          <w:lang w:eastAsia="en-US"/>
        </w:rPr>
        <w:t>)</w:t>
      </w:r>
      <w:r w:rsidRPr="00771A3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больших </w:t>
      </w:r>
      <w:r w:rsidRPr="00771A30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big</w:t>
      </w:r>
      <w:r w:rsidRPr="00771A30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  <w:lang w:val="en-US" w:eastAsia="en-US"/>
        </w:rPr>
        <w:t>band</w:t>
      </w:r>
      <w:r w:rsidRPr="00771A30">
        <w:rPr>
          <w:rStyle w:val="28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инструментальных джазовых ансамблей) и рок-музыки (от классических рок-составов 1960-х до развитых групп стиля джаз-рок, фьюжн, авангард и др.). Именно в рамках данных музыкально-стилевых направлений бас-гитара стала основой ритм-секции, подвижным инструментом удобной конструкции, способным обеспечить необходимый уровень громкости звучания, и имеющая в своем арсенале огромное разнообразие исполнительских приемов </w:t>
      </w:r>
      <w:r>
        <w:rPr>
          <w:rStyle w:val="21"/>
          <w:color w:val="000000"/>
        </w:rPr>
        <w:lastRenderedPageBreak/>
        <w:t>[20].</w:t>
      </w:r>
    </w:p>
    <w:p w14:paraId="396642EB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 xml:space="preserve">На основе изучения научной литературы по проблемам исполнительской техники игры на бас-гитаре, а также основываясь на собственном исполнительском и педагогическом опыте, автор впервые в отечественном музыкознании систематизировал существующие исполнительские техники, дополнив их собственными терминами. Так, в процессе изучения техники </w:t>
      </w:r>
      <w:r>
        <w:rPr>
          <w:rStyle w:val="28"/>
          <w:color w:val="000000"/>
        </w:rPr>
        <w:t>пиццикато</w:t>
      </w:r>
      <w:r>
        <w:rPr>
          <w:rStyle w:val="21"/>
          <w:color w:val="000000"/>
        </w:rPr>
        <w:t xml:space="preserve"> в научный обиход был введен новый термин - </w:t>
      </w:r>
      <w:r>
        <w:rPr>
          <w:rStyle w:val="28"/>
          <w:color w:val="000000"/>
        </w:rPr>
        <w:t>пиццикато от деки</w:t>
      </w:r>
      <w:r>
        <w:rPr>
          <w:rStyle w:val="21"/>
          <w:color w:val="000000"/>
        </w:rPr>
        <w:t xml:space="preserve"> [37].</w:t>
      </w:r>
    </w:p>
    <w:p w14:paraId="23220D3C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>Исследование исполнительских техник на бас-гитаре осуществлено на основе творчества ведущих бас-гитаристов современности, оказавших наибольшее влияние на развитие приемов игры на бас-гитаре: Д. Джемерсона, П. Маккартни, Д. Пасториуса, Л. Грэма, С. Кларка, М. Миллера, Б. Шихэна, С. Хэмма, Д. Патитуччи, С. Бэйли, В. Вутена.</w:t>
      </w:r>
    </w:p>
    <w:p w14:paraId="6C6284CB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891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>В процессе исследования эволюции исполнительской техники на бас-гитаре автору удалось выявить и изучить взаимовлияние контрабасового, акустически-гитарного и электрогитарного принципов звукоизвлечения. Именно благодаря синтезированию техник разного генезиса бас-гитара смогла утвердиться в роли полифункционального инструмента, способного объединить множество разнообразных исполнительских функций: от электрогитары - медиаторную технику и тэппинг, от контрабаса - аккомпанирующую функцию, от классической гитары - базовую технику звукоизвлечения [34].</w:t>
      </w:r>
    </w:p>
    <w:p w14:paraId="1A8D6353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891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 xml:space="preserve">Становление и развитие бас-гитарного исполнительства, насчитывающего довольно краткую историю (более 70 лет), рассматривается в динамике, в его эволюционном измерении, изменяющем способы бытования бас-гитары. Если в 1950-е годы и во второй половине ХХ века основным источником приобщения к этому инструменту были концертные выступления и грамзаписи, то сегодня мощным источником распространения знаний о бас-гитаре становится сеть </w:t>
      </w:r>
      <w:r>
        <w:rPr>
          <w:rStyle w:val="28"/>
          <w:color w:val="000000"/>
        </w:rPr>
        <w:t>Интернет,</w:t>
      </w:r>
      <w:r>
        <w:rPr>
          <w:rStyle w:val="21"/>
          <w:color w:val="000000"/>
        </w:rPr>
        <w:t xml:space="preserve"> в том числе, многочисленные аудио- и видеошколы, мастер-классы выдающихся музыкантов и другие ресурсы.</w:t>
      </w:r>
    </w:p>
    <w:p w14:paraId="3D281921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891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 xml:space="preserve">Сегодня сформировался огромный слой как традиционных пособий (имеющаяся в открытом доступе практическая и учебно-методическая литература), так и онлайн- ресурсов (видеоблоги, видеошколы, туториалы, </w:t>
      </w:r>
      <w:r>
        <w:rPr>
          <w:rStyle w:val="21"/>
          <w:color w:val="000000"/>
        </w:rPr>
        <w:lastRenderedPageBreak/>
        <w:t>интернет-сообщества, форумы и др.), посвященных проблемам обучения и исполнительства на бас-гитаре, что способствует большему распространению и популярности инструмента. В работе рассмотрены наиболее репрезентативные аудио- и видеошколы игры на бас-гитары, созданные выдающимися исполнителями и педагогами. Автор данной диссертации доказывает, что аудио- и видеошколы обладают определенными дидактическими преимуществами по сравнению с традиционными книжными источниками.</w:t>
      </w:r>
    </w:p>
    <w:p w14:paraId="4658E6BF" w14:textId="77777777" w:rsidR="00771A30" w:rsidRDefault="00771A30" w:rsidP="00D84B04">
      <w:pPr>
        <w:pStyle w:val="210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0" w:line="413" w:lineRule="exact"/>
        <w:ind w:firstLine="600"/>
        <w:jc w:val="both"/>
      </w:pPr>
      <w:r>
        <w:rPr>
          <w:rStyle w:val="21"/>
          <w:color w:val="000000"/>
        </w:rPr>
        <w:t xml:space="preserve">Актуальные проблемы, связанные со спецификой современного видеообразования, изучены на примере работы </w:t>
      </w:r>
      <w:r>
        <w:rPr>
          <w:rStyle w:val="28"/>
          <w:color w:val="000000"/>
          <w:lang w:val="en-US" w:eastAsia="en-US"/>
        </w:rPr>
        <w:t>YouTube</w:t>
      </w:r>
      <w:r>
        <w:rPr>
          <w:rStyle w:val="28"/>
          <w:color w:val="000000"/>
        </w:rPr>
        <w:t>-канала</w:t>
      </w:r>
      <w:r>
        <w:rPr>
          <w:rStyle w:val="21"/>
          <w:color w:val="000000"/>
        </w:rPr>
        <w:t xml:space="preserve"> автора настоящей диссертации [35]. Впервые в отечественном музыкознании проанализированы особенности </w:t>
      </w:r>
      <w:r>
        <w:rPr>
          <w:rStyle w:val="28"/>
          <w:color w:val="000000"/>
        </w:rPr>
        <w:t>контента</w:t>
      </w:r>
      <w:r>
        <w:rPr>
          <w:rStyle w:val="21"/>
          <w:color w:val="000000"/>
        </w:rPr>
        <w:t xml:space="preserve"> данного обучающего ресурса как одной из передовых форм коммуникации исполнителя и преподавателя бас-гитары с современным социумом [30].</w:t>
      </w:r>
    </w:p>
    <w:p w14:paraId="5B990C78" w14:textId="77777777" w:rsidR="00771A30" w:rsidRDefault="00771A30" w:rsidP="00771A30">
      <w:pPr>
        <w:pStyle w:val="222"/>
        <w:keepNext/>
        <w:keepLines/>
        <w:shd w:val="clear" w:color="auto" w:fill="auto"/>
        <w:jc w:val="center"/>
      </w:pPr>
      <w:bookmarkStart w:id="1" w:name="bookmark35"/>
      <w:r>
        <w:rPr>
          <w:rStyle w:val="221"/>
          <w:color w:val="000000"/>
        </w:rPr>
        <w:t>Рекомендации</w:t>
      </w:r>
      <w:bookmarkEnd w:id="1"/>
    </w:p>
    <w:p w14:paraId="198044B1" w14:textId="77777777" w:rsidR="00771A30" w:rsidRDefault="00771A30" w:rsidP="00D84B04">
      <w:pPr>
        <w:pStyle w:val="21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413" w:lineRule="exact"/>
        <w:ind w:left="400" w:hanging="400"/>
        <w:jc w:val="both"/>
      </w:pPr>
      <w:r>
        <w:rPr>
          <w:rStyle w:val="21"/>
          <w:color w:val="000000"/>
        </w:rPr>
        <w:t>Продолжить музыковедческие исследования исторических, конструктивных, исполнительских и учебно-методических особенностей бас-гитары, направленных на всестороннее изучение инструмента, не отраженных в настоящем исследовании.</w:t>
      </w:r>
    </w:p>
    <w:p w14:paraId="68D7FFC2" w14:textId="77777777" w:rsidR="00771A30" w:rsidRDefault="00771A30" w:rsidP="00D84B04">
      <w:pPr>
        <w:pStyle w:val="210"/>
        <w:numPr>
          <w:ilvl w:val="0"/>
          <w:numId w:val="4"/>
        </w:numPr>
        <w:shd w:val="clear" w:color="auto" w:fill="auto"/>
        <w:spacing w:before="0" w:after="0" w:line="413" w:lineRule="exact"/>
        <w:ind w:left="400" w:hanging="400"/>
        <w:jc w:val="both"/>
      </w:pPr>
      <w:r>
        <w:rPr>
          <w:rStyle w:val="21"/>
          <w:color w:val="000000"/>
        </w:rPr>
        <w:t xml:space="preserve"> Использовать материалы и выводы данного исследования в будущих трудах, посвященных актуальным проблемам современной джазовой музыки, в целом, и исполнительским техникам игры на бас-гитаре, в частности.</w:t>
      </w:r>
    </w:p>
    <w:p w14:paraId="417B9DED" w14:textId="77777777" w:rsidR="00771A30" w:rsidRDefault="00771A30" w:rsidP="00D84B04">
      <w:pPr>
        <w:pStyle w:val="21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413" w:lineRule="exact"/>
        <w:ind w:left="400" w:hanging="400"/>
        <w:jc w:val="both"/>
      </w:pPr>
      <w:r>
        <w:rPr>
          <w:rStyle w:val="21"/>
          <w:color w:val="000000"/>
        </w:rPr>
        <w:t>Расширить комплексное изучение исполнительской техники на бас-гитаре в ее связи с научно-техническим прогрессом, включая появление новых средств воспроизведения и звукообрабатывающих устройств.</w:t>
      </w:r>
    </w:p>
    <w:p w14:paraId="3E666EE1" w14:textId="77777777" w:rsidR="00771A30" w:rsidRDefault="00771A30" w:rsidP="00D84B04">
      <w:pPr>
        <w:pStyle w:val="21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413" w:lineRule="exact"/>
        <w:ind w:left="400" w:hanging="400"/>
        <w:jc w:val="both"/>
      </w:pPr>
      <w:r>
        <w:rPr>
          <w:rStyle w:val="21"/>
          <w:color w:val="000000"/>
        </w:rPr>
        <w:t>Наладить выпуск печатных сборников сочинений современных композиторов Республики Молдова для бас-гитары соло, бас-гитары и фортепиано, джазовых ансамблей и оркестров, создав благоприятные условия для развития новых поколений исполнителей и исследователей.</w:t>
      </w:r>
    </w:p>
    <w:p w14:paraId="7AB88926" w14:textId="77777777" w:rsidR="00771A30" w:rsidRDefault="00771A30" w:rsidP="00D84B04">
      <w:pPr>
        <w:pStyle w:val="21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413" w:lineRule="exact"/>
        <w:ind w:left="400" w:hanging="400"/>
        <w:jc w:val="both"/>
      </w:pPr>
      <w:r>
        <w:rPr>
          <w:rStyle w:val="21"/>
          <w:color w:val="000000"/>
        </w:rPr>
        <w:t>Включать сочинения для бас-гитары в концертные программы, программы международных конкурсов и музыкальных фестивалей для развития творческих контактов бас-гитаристов разных стран.</w:t>
      </w:r>
    </w:p>
    <w:p w14:paraId="147267BA" w14:textId="77777777" w:rsidR="00771A30" w:rsidRDefault="00771A30" w:rsidP="00D84B04">
      <w:pPr>
        <w:pStyle w:val="21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413" w:lineRule="exact"/>
        <w:ind w:left="400" w:hanging="400"/>
        <w:jc w:val="both"/>
      </w:pPr>
      <w:r>
        <w:rPr>
          <w:rStyle w:val="21"/>
          <w:color w:val="000000"/>
        </w:rPr>
        <w:lastRenderedPageBreak/>
        <w:t>Целесообразно организовать на Национальном радио и телевидении регулярное исполнение и запись наиболее показательных сочинений для бас-гитары ведущих мировых авторов и композиторов Республики Молдова.</w:t>
      </w:r>
    </w:p>
    <w:p w14:paraId="2A0D7114" w14:textId="0401F3DC" w:rsidR="002D0F0E" w:rsidRPr="00D70478" w:rsidRDefault="00771A30" w:rsidP="00771A30">
      <w:r>
        <w:rPr>
          <w:rStyle w:val="21"/>
          <w:color w:val="000000"/>
        </w:rPr>
        <w:t>Рекомендовать систематически устраивать в рамках АМТИИ, музыкальных школ и лицеев, средних профессиональных и высших учебных заведений мастер-классы ведущих исполнителей на бас-гитаре из Румынии, Италии, Германии, Франции, Великобритании, Российской Федерации, США и других стран.</w:t>
      </w:r>
    </w:p>
    <w:sectPr w:rsidR="002D0F0E" w:rsidRPr="00D704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8D89" w14:textId="77777777" w:rsidR="00D84B04" w:rsidRDefault="00D84B04">
      <w:pPr>
        <w:spacing w:after="0" w:line="240" w:lineRule="auto"/>
      </w:pPr>
      <w:r>
        <w:separator/>
      </w:r>
    </w:p>
  </w:endnote>
  <w:endnote w:type="continuationSeparator" w:id="0">
    <w:p w14:paraId="6EB20531" w14:textId="77777777" w:rsidR="00D84B04" w:rsidRDefault="00D8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CA86" w14:textId="77777777" w:rsidR="00D84B04" w:rsidRDefault="00D84B04">
      <w:pPr>
        <w:spacing w:after="0" w:line="240" w:lineRule="auto"/>
      </w:pPr>
      <w:r>
        <w:separator/>
      </w:r>
    </w:p>
  </w:footnote>
  <w:footnote w:type="continuationSeparator" w:id="0">
    <w:p w14:paraId="074C6728" w14:textId="77777777" w:rsidR="00D84B04" w:rsidRDefault="00D8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4B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04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103335</TotalTime>
  <Pages>20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7011</cp:revision>
  <dcterms:created xsi:type="dcterms:W3CDTF">2024-06-20T08:51:00Z</dcterms:created>
  <dcterms:modified xsi:type="dcterms:W3CDTF">2024-10-14T19:53:00Z</dcterms:modified>
  <cp:category/>
</cp:coreProperties>
</file>