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D282" w14:textId="77777777" w:rsidR="00635D75" w:rsidRDefault="00635D75" w:rsidP="00635D75">
      <w:pPr>
        <w:pStyle w:val="afffffffffffffffffffffffffff5"/>
        <w:rPr>
          <w:rFonts w:ascii="Verdana" w:hAnsi="Verdana"/>
          <w:color w:val="000000"/>
          <w:sz w:val="21"/>
          <w:szCs w:val="21"/>
        </w:rPr>
      </w:pPr>
      <w:r>
        <w:rPr>
          <w:rFonts w:ascii="Helvetica" w:hAnsi="Helvetica" w:cs="Helvetica"/>
          <w:b/>
          <w:bCs w:val="0"/>
          <w:color w:val="222222"/>
          <w:sz w:val="21"/>
          <w:szCs w:val="21"/>
        </w:rPr>
        <w:t>Одинаев, Алиджон.</w:t>
      </w:r>
    </w:p>
    <w:p w14:paraId="5494B325" w14:textId="77777777" w:rsidR="00635D75" w:rsidRDefault="00635D75" w:rsidP="00635D75">
      <w:pPr>
        <w:pStyle w:val="20"/>
        <w:spacing w:before="0" w:after="312"/>
        <w:rPr>
          <w:rFonts w:ascii="Arial" w:hAnsi="Arial" w:cs="Arial"/>
          <w:caps/>
          <w:color w:val="333333"/>
          <w:sz w:val="27"/>
          <w:szCs w:val="27"/>
        </w:rPr>
      </w:pPr>
      <w:r>
        <w:rPr>
          <w:rFonts w:ascii="Helvetica" w:hAnsi="Helvetica" w:cs="Helvetica"/>
          <w:caps/>
          <w:color w:val="222222"/>
          <w:sz w:val="21"/>
          <w:szCs w:val="21"/>
        </w:rPr>
        <w:t>Научная и творческая интеллигенция Таджикистана в годы Великой Отечественной войны : 1941-1945 гг. : диссертация ... кандидата исторических наук : 07.00.02 / Одинаев Алиджон; [Место защиты: Ин-т истории, археологии и этнографии им. Ахмади Дониша АН Респ. Таджикистан]. - Худжанд, 2013. - 166 с.</w:t>
      </w:r>
    </w:p>
    <w:p w14:paraId="67A97E30" w14:textId="77777777" w:rsidR="00635D75" w:rsidRDefault="00635D75" w:rsidP="00635D7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Турсунов, Расуль Таирович</w:t>
      </w:r>
    </w:p>
    <w:p w14:paraId="6C5AD8EB"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обозначения . . . . . . . . . . . . . . . 4 Введение.</w:t>
      </w:r>
    </w:p>
    <w:p w14:paraId="74409545"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СКОРОСТЬ СХОДИМОСТИ В ПРИНЦИПЕ ИНВАРИАНТНОСТИ ДЛЯ СУШ СЛУЧАЙНОГО ЧИСЛА.</w:t>
      </w:r>
    </w:p>
    <w:p w14:paraId="6CAB7977"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СЛАГАЕМЫХ В СХИМЕ СЕРИЙ.</w:t>
      </w:r>
    </w:p>
    <w:p w14:paraId="095FBEBF"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Равномерные оценки для распределений в разнораспределенном случае • • • • •</w:t>
      </w:r>
    </w:p>
    <w:p w14:paraId="39256A3F"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Оценки для Д - расстояний в разно-. распределенном случае</w:t>
      </w:r>
    </w:p>
    <w:p w14:paraId="6B69C9F3"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Одинаково распределенный случай</w:t>
      </w:r>
    </w:p>
    <w:p w14:paraId="54757207"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Оценки для процесса восстановления. •</w:t>
      </w:r>
    </w:p>
    <w:p w14:paraId="38A44F09"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СКОРОСТЬ СХОДИМОСТИ В ФУНКЦИОНАЛЬНОЙ ЦЕНТРАЛЬНОЙ ПРЕДЕЛЬНОЙ ТЕОРЕМЕ . (ФЦПТ) ДЛЯ СЛУЧАЙНЫХ ПРОЦЕССОВ,ЗАДАВАЕМЫХ В РАЗЛИЧНЫХ СИСТЕМАХ.МАССОВОГО</w:t>
      </w:r>
    </w:p>
    <w:p w14:paraId="1278D39B"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ОБСЛУЖИВАНИЯ</w:t>
      </w:r>
    </w:p>
    <w:p w14:paraId="405A91CA"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2.I.Скорость сходимости в ФЦПТ для различных характеристик системы массового. обслуживания &amp;1[(г</w:t>
      </w:r>
    </w:p>
    <w:p w14:paraId="6D97B9DD"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Система массового обслуживания М|6-[1 с групповыми поступлениями. ФЦПТ и оценки скорости сходимости для аддитивных характеристик ••••.••••</w:t>
      </w:r>
    </w:p>
    <w:p w14:paraId="70C23810"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Смешанные моменты периода занятости, интеграла от длины очереди и числа обслуженных требований за один период занятости системы массового обслуживания с групповыми поступлениями и их асимптотическое.поведение.в.критическом! режиме • ••••••••.••••••</w:t>
      </w:r>
    </w:p>
    <w:p w14:paraId="65EDA37D"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ФЦПТ для числа обслуженных и потерянных требований системы массового обслуживания, м1нши в схеме серий и оценки скорости сходимости • ••••••••••••</w:t>
      </w:r>
    </w:p>
    <w:p w14:paraId="68A5DEFB"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 ОЦЕНКИ СКОРОСТИ СХОДИМОСТИ В ФУНКЦИОНАЛЬНОМ ЗАКОНЕ БОЛЬШИХ ЧИСЕЛ (ФЗБЧ) . да РЕГЕНЕРИРУЩИХ ПРОЦЕССОВ И ИХ ПРИЛОЖЕНИЯ К РАЗЛИЧНЫМ СИСТЕМАМ МАССОВОГО ОБСЛУЖИВАНИЯ</w:t>
      </w:r>
    </w:p>
    <w:p w14:paraId="3E682497"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Оценки скорости сходимости в ФЗБЧ для последовательности регенерирующих.про- . цессов</w:t>
      </w:r>
    </w:p>
    <w:p w14:paraId="3C5093CA"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Оценки скорости сходимости в ФЗБЧ для . различных характеристик системы массового обслуживания</w:t>
      </w:r>
    </w:p>
    <w:p w14:paraId="7A428B8A"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Оценки скорости сходимости в ФЗБЧ для некоторых характеристик системы массо- . вого обслуживания М ((г\ 1 с группо . выш поступлениями</w:t>
      </w:r>
    </w:p>
    <w:p w14:paraId="65F02132" w14:textId="77777777" w:rsidR="00635D75" w:rsidRDefault="00635D75" w:rsidP="00635D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ФЗБЧ для числа обслуженных и потерянных требований системы массового обслуживания в схеме серий и оценки скорости сходимости</w:t>
      </w:r>
    </w:p>
    <w:p w14:paraId="4FDAD129" w14:textId="5ACD63BC" w:rsidR="00BD642D" w:rsidRPr="00635D75" w:rsidRDefault="00BD642D" w:rsidP="00635D75"/>
    <w:sectPr w:rsidR="00BD642D" w:rsidRPr="00635D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E12A" w14:textId="77777777" w:rsidR="0090336A" w:rsidRDefault="0090336A">
      <w:pPr>
        <w:spacing w:after="0" w:line="240" w:lineRule="auto"/>
      </w:pPr>
      <w:r>
        <w:separator/>
      </w:r>
    </w:p>
  </w:endnote>
  <w:endnote w:type="continuationSeparator" w:id="0">
    <w:p w14:paraId="408C1FD6" w14:textId="77777777" w:rsidR="0090336A" w:rsidRDefault="0090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855E" w14:textId="77777777" w:rsidR="0090336A" w:rsidRDefault="0090336A"/>
    <w:p w14:paraId="5282675A" w14:textId="77777777" w:rsidR="0090336A" w:rsidRDefault="0090336A"/>
    <w:p w14:paraId="6FC3B95D" w14:textId="77777777" w:rsidR="0090336A" w:rsidRDefault="0090336A"/>
    <w:p w14:paraId="42AB248A" w14:textId="77777777" w:rsidR="0090336A" w:rsidRDefault="0090336A"/>
    <w:p w14:paraId="3AA5906F" w14:textId="77777777" w:rsidR="0090336A" w:rsidRDefault="0090336A"/>
    <w:p w14:paraId="7CA2C50B" w14:textId="77777777" w:rsidR="0090336A" w:rsidRDefault="0090336A"/>
    <w:p w14:paraId="0B6E2538" w14:textId="77777777" w:rsidR="0090336A" w:rsidRDefault="009033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42A3D9" wp14:editId="1894B3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F196C" w14:textId="77777777" w:rsidR="0090336A" w:rsidRDefault="009033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42A3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7F196C" w14:textId="77777777" w:rsidR="0090336A" w:rsidRDefault="009033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969051" w14:textId="77777777" w:rsidR="0090336A" w:rsidRDefault="0090336A"/>
    <w:p w14:paraId="7A2B2506" w14:textId="77777777" w:rsidR="0090336A" w:rsidRDefault="0090336A"/>
    <w:p w14:paraId="643860D2" w14:textId="77777777" w:rsidR="0090336A" w:rsidRDefault="009033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AE263A" wp14:editId="02FD2F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F1E6E" w14:textId="77777777" w:rsidR="0090336A" w:rsidRDefault="0090336A"/>
                          <w:p w14:paraId="3DEF2E9E" w14:textId="77777777" w:rsidR="0090336A" w:rsidRDefault="009033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AE26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6F1E6E" w14:textId="77777777" w:rsidR="0090336A" w:rsidRDefault="0090336A"/>
                    <w:p w14:paraId="3DEF2E9E" w14:textId="77777777" w:rsidR="0090336A" w:rsidRDefault="009033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E74C0D" w14:textId="77777777" w:rsidR="0090336A" w:rsidRDefault="0090336A"/>
    <w:p w14:paraId="015D80EB" w14:textId="77777777" w:rsidR="0090336A" w:rsidRDefault="0090336A">
      <w:pPr>
        <w:rPr>
          <w:sz w:val="2"/>
          <w:szCs w:val="2"/>
        </w:rPr>
      </w:pPr>
    </w:p>
    <w:p w14:paraId="7B2763F3" w14:textId="77777777" w:rsidR="0090336A" w:rsidRDefault="0090336A"/>
    <w:p w14:paraId="31326467" w14:textId="77777777" w:rsidR="0090336A" w:rsidRDefault="0090336A">
      <w:pPr>
        <w:spacing w:after="0" w:line="240" w:lineRule="auto"/>
      </w:pPr>
    </w:p>
  </w:footnote>
  <w:footnote w:type="continuationSeparator" w:id="0">
    <w:p w14:paraId="661FA347" w14:textId="77777777" w:rsidR="0090336A" w:rsidRDefault="0090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6A"/>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99557</TotalTime>
  <Pages>2</Pages>
  <Words>337</Words>
  <Characters>1924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947</cp:revision>
  <cp:lastPrinted>2009-02-06T05:36:00Z</cp:lastPrinted>
  <dcterms:created xsi:type="dcterms:W3CDTF">2024-01-07T13:43:00Z</dcterms:created>
  <dcterms:modified xsi:type="dcterms:W3CDTF">2025-05-27T20:24:00Z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