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CB15" w14:textId="77777777" w:rsidR="001A7B28" w:rsidRDefault="001A7B28" w:rsidP="001A7B28">
      <w:pPr>
        <w:pStyle w:val="afffffffffffffffffffffffffff5"/>
        <w:rPr>
          <w:rFonts w:ascii="Verdana" w:hAnsi="Verdana"/>
          <w:color w:val="000000"/>
          <w:sz w:val="21"/>
          <w:szCs w:val="21"/>
        </w:rPr>
      </w:pPr>
      <w:r>
        <w:rPr>
          <w:rFonts w:ascii="Helvetica" w:hAnsi="Helvetica" w:cs="Helvetica"/>
          <w:b/>
          <w:bCs w:val="0"/>
          <w:color w:val="222222"/>
          <w:sz w:val="21"/>
          <w:szCs w:val="21"/>
        </w:rPr>
        <w:t>Бетехтин, Владимир Иванович.</w:t>
      </w:r>
    </w:p>
    <w:p w14:paraId="6EFEBFF7" w14:textId="77777777" w:rsidR="001A7B28" w:rsidRDefault="001A7B28" w:rsidP="001A7B2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Кинетические закономерности разрушения кристаллических </w:t>
      </w:r>
      <w:proofErr w:type="gramStart"/>
      <w:r>
        <w:rPr>
          <w:rFonts w:ascii="Helvetica" w:hAnsi="Helvetica" w:cs="Helvetica"/>
          <w:caps/>
          <w:color w:val="222222"/>
          <w:sz w:val="21"/>
          <w:szCs w:val="21"/>
        </w:rPr>
        <w:t>тел :</w:t>
      </w:r>
      <w:proofErr w:type="gramEnd"/>
      <w:r>
        <w:rPr>
          <w:rFonts w:ascii="Helvetica" w:hAnsi="Helvetica" w:cs="Helvetica"/>
          <w:caps/>
          <w:color w:val="222222"/>
          <w:sz w:val="21"/>
          <w:szCs w:val="21"/>
        </w:rPr>
        <w:t xml:space="preserve"> диссертация ... доктора физико-математических наук : 01.04.07. - Ленинград, 1984. - 370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E1750AE" w14:textId="77777777" w:rsidR="001A7B28" w:rsidRDefault="001A7B28" w:rsidP="001A7B2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Бетехтин, Владимир Иванович</w:t>
      </w:r>
    </w:p>
    <w:p w14:paraId="1F7EF70F"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D8B7BD"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А. ДОЛГОВЕЧНОСТЬ КРИСТАЛЛИЧЕСКИХ МАТЕРИАЛОВ</w:t>
      </w:r>
    </w:p>
    <w:p w14:paraId="690DBDD3"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ТЕМПЕРАТУШО-СИЛОВАЯ ЗАВИСИМОСТЬ ДОЛГОВЕЧНОСТИ</w:t>
      </w:r>
    </w:p>
    <w:p w14:paraId="4F3844A2"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КРИСТАЛЛИЧЕСКИХ ТЕЛ.</w:t>
      </w:r>
    </w:p>
    <w:p w14:paraId="3CADD3CB"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характеристика исследованных материалов, методики их приготовления и испытания.</w:t>
      </w:r>
    </w:p>
    <w:p w14:paraId="73A2DD86"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Долговечность поликристаллических металлов и сплавов; способы обработки феноменологических </w:t>
      </w:r>
      <w:proofErr w:type="gramStart"/>
      <w:r>
        <w:rPr>
          <w:rFonts w:ascii="Arial" w:hAnsi="Arial" w:cs="Arial"/>
          <w:color w:val="333333"/>
          <w:sz w:val="21"/>
          <w:szCs w:val="21"/>
        </w:rPr>
        <w:t>данных .</w:t>
      </w:r>
      <w:proofErr w:type="gramEnd"/>
      <w:r>
        <w:rPr>
          <w:rFonts w:ascii="Arial" w:hAnsi="Arial" w:cs="Arial"/>
          <w:color w:val="333333"/>
          <w:sz w:val="21"/>
          <w:szCs w:val="21"/>
        </w:rPr>
        <w:t xml:space="preserve"> Г.</w:t>
      </w:r>
    </w:p>
    <w:p w14:paraId="4A194229"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Долговечность ионных, ковалентных, металлических, молекулярных кристаллов, находящихся в пластичном, частично в хрупком состояниях.</w:t>
      </w:r>
    </w:p>
    <w:p w14:paraId="460BE8B3"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Некоторые результаты изучения металлов и сплавов после нейтронного облучения.</w:t>
      </w:r>
    </w:p>
    <w:p w14:paraId="51EAF1A5"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Обсуждения и выводы по гл.</w:t>
      </w:r>
    </w:p>
    <w:p w14:paraId="3D451FE2"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СТРУКТУРА КРИСТАЛЛИЧЕСКИХ ТЕЛ И ЕЁ ВЛИЯНИЕ НА КОЭШЦИШГЫ ТЕМПЕРАТУРНО-СИЛОВОЙ ЗАВИСИМОСТИ</w:t>
      </w:r>
    </w:p>
    <w:p w14:paraId="1FE4EBE2"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ДОЛГОВЕЧНОСТИ.</w:t>
      </w:r>
    </w:p>
    <w:p w14:paraId="2C39FB38"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Методики структурных исследований</w:t>
      </w:r>
    </w:p>
    <w:p w14:paraId="47675D13"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Разориентация</w:t>
      </w:r>
      <w:proofErr w:type="spellEnd"/>
      <w:r>
        <w:rPr>
          <w:rFonts w:ascii="Arial" w:hAnsi="Arial" w:cs="Arial"/>
          <w:color w:val="333333"/>
          <w:sz w:val="21"/>
          <w:szCs w:val="21"/>
        </w:rPr>
        <w:t xml:space="preserve"> блоков и температурно-силовая зависимость долговечности моно и поликристаллов</w:t>
      </w:r>
    </w:p>
    <w:p w14:paraId="636A718D"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структурные особенности двухфазных сплавов и облученных металлов</w:t>
      </w:r>
    </w:p>
    <w:p w14:paraId="05930B4A"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Влияние структурной нестабильности на температурно-силовую зависимость долговечности</w:t>
      </w:r>
    </w:p>
    <w:p w14:paraId="7524B9EC"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Обсуждение данных и выводы по гл.11.</w:t>
      </w:r>
    </w:p>
    <w:p w14:paraId="1CFD7ABD"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ЭНЕРГИЯ АКТИВАЦИИ "ДОЛГОВЕЧНОСТИ"</w:t>
      </w:r>
    </w:p>
    <w:p w14:paraId="435A5CA2"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Энергия активации и элементы </w:t>
      </w:r>
      <w:proofErr w:type="spellStart"/>
      <w:r>
        <w:rPr>
          <w:rFonts w:ascii="Arial" w:hAnsi="Arial" w:cs="Arial"/>
          <w:color w:val="333333"/>
          <w:sz w:val="21"/>
          <w:szCs w:val="21"/>
        </w:rPr>
        <w:t>надатомной</w:t>
      </w:r>
      <w:proofErr w:type="spellEnd"/>
      <w:r>
        <w:rPr>
          <w:rFonts w:ascii="Arial" w:hAnsi="Arial" w:cs="Arial"/>
          <w:color w:val="333333"/>
          <w:sz w:val="21"/>
          <w:szCs w:val="21"/>
        </w:rPr>
        <w:t xml:space="preserve"> структуры кристаллов.</w:t>
      </w:r>
    </w:p>
    <w:p w14:paraId="7CA080A0"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на энергию активации гидростатического давления.</w:t>
      </w:r>
    </w:p>
    <w:p w14:paraId="347368CC"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Изменение энергии активации при полиморфных превращениях.</w:t>
      </w:r>
    </w:p>
    <w:p w14:paraId="4A881886"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Обсуждение и выводы по </w:t>
      </w:r>
      <w:proofErr w:type="spellStart"/>
      <w:r>
        <w:rPr>
          <w:rFonts w:ascii="Arial" w:hAnsi="Arial" w:cs="Arial"/>
          <w:color w:val="333333"/>
          <w:sz w:val="21"/>
          <w:szCs w:val="21"/>
        </w:rPr>
        <w:t>гл.Ш</w:t>
      </w:r>
      <w:proofErr w:type="spellEnd"/>
      <w:r>
        <w:rPr>
          <w:rFonts w:ascii="Arial" w:hAnsi="Arial" w:cs="Arial"/>
          <w:color w:val="333333"/>
          <w:sz w:val="21"/>
          <w:szCs w:val="21"/>
        </w:rPr>
        <w:t>.</w:t>
      </w:r>
    </w:p>
    <w:p w14:paraId="6221B248"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Б. КИНЕТИКА МИКРОРАЗРУШЕНИЯ КРИСТАЛЛИЧЕСКИХ</w:t>
      </w:r>
    </w:p>
    <w:p w14:paraId="41C159AF"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МАТЕРИАЛОВ</w:t>
      </w:r>
    </w:p>
    <w:p w14:paraId="319A6D23"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ОШАЕУЖЕНИЕ ЗАРОДЫШЕВЫХ МИКРОТРЕЩН В</w:t>
      </w:r>
    </w:p>
    <w:p w14:paraId="0C599409"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МЕТАЛЛАХ И КРИСТАЛЛАХ.</w:t>
      </w:r>
    </w:p>
    <w:p w14:paraId="6390D936"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Методики изучения микротрещин.</w:t>
      </w:r>
    </w:p>
    <w:p w14:paraId="46E9D272"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Размеры, концентрация, форма зародышевых трещин и их распределение по объёму деформированных кристаллических тел</w:t>
      </w:r>
    </w:p>
    <w:p w14:paraId="133B337D"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Изучение микротрещин с помощью электронной микроскопии.</w:t>
      </w:r>
    </w:p>
    <w:p w14:paraId="6132EE3E"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Результаты изучения микротрещин с помощью измерения дефекта плотности</w:t>
      </w:r>
    </w:p>
    <w:p w14:paraId="79EAA453"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B) Данные о микротрещинах» полученные методом рассеяния рентгеновских лучей под </w:t>
      </w:r>
      <w:proofErr w:type="spellStart"/>
      <w:r>
        <w:rPr>
          <w:rFonts w:ascii="Arial" w:hAnsi="Arial" w:cs="Arial"/>
          <w:color w:val="333333"/>
          <w:sz w:val="21"/>
          <w:szCs w:val="21"/>
        </w:rPr>
        <w:t>малши</w:t>
      </w:r>
      <w:proofErr w:type="spellEnd"/>
      <w:r>
        <w:rPr>
          <w:rFonts w:ascii="Arial" w:hAnsi="Arial" w:cs="Arial"/>
          <w:color w:val="333333"/>
          <w:sz w:val="21"/>
          <w:szCs w:val="21"/>
        </w:rPr>
        <w:t xml:space="preserve"> углами.</w:t>
      </w:r>
    </w:p>
    <w:p w14:paraId="39AF0242"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Изучение микротрещин с помощью рассеяния света.</w:t>
      </w:r>
    </w:p>
    <w:p w14:paraId="09F66C6E"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Анализ данных и выводы по гл.1У</w:t>
      </w:r>
    </w:p>
    <w:p w14:paraId="4DAA7241"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КИНЕТИКА НАЧАЛЬНОЙ СТАДИИ МИКРОРАЗРУШЕНИЯ</w:t>
      </w:r>
    </w:p>
    <w:p w14:paraId="1EEE0D98"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КРИСТАЛЛИЧЕСКИХ МАТЕРИАЛОВ.</w:t>
      </w:r>
    </w:p>
    <w:p w14:paraId="2D8C3BDD"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Распределение микротрещин по размерам и закономерности их накопления в процессе испытания на долговечность</w:t>
      </w:r>
    </w:p>
    <w:p w14:paraId="77E1573C"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2. Особенности кинетики </w:t>
      </w:r>
      <w:proofErr w:type="spellStart"/>
      <w:r>
        <w:rPr>
          <w:rFonts w:ascii="Arial" w:hAnsi="Arial" w:cs="Arial"/>
          <w:color w:val="333333"/>
          <w:sz w:val="21"/>
          <w:szCs w:val="21"/>
        </w:rPr>
        <w:t>микроразрушения</w:t>
      </w:r>
      <w:proofErr w:type="spellEnd"/>
      <w:r>
        <w:rPr>
          <w:rFonts w:ascii="Arial" w:hAnsi="Arial" w:cs="Arial"/>
          <w:color w:val="333333"/>
          <w:sz w:val="21"/>
          <w:szCs w:val="21"/>
        </w:rPr>
        <w:t xml:space="preserve"> кристаллов в </w:t>
      </w:r>
      <w:proofErr w:type="spellStart"/>
      <w:r>
        <w:rPr>
          <w:rFonts w:ascii="Arial" w:hAnsi="Arial" w:cs="Arial"/>
          <w:color w:val="333333"/>
          <w:sz w:val="21"/>
          <w:szCs w:val="21"/>
        </w:rPr>
        <w:t>квазихрупком</w:t>
      </w:r>
      <w:proofErr w:type="spellEnd"/>
      <w:r>
        <w:rPr>
          <w:rFonts w:ascii="Arial" w:hAnsi="Arial" w:cs="Arial"/>
          <w:color w:val="333333"/>
          <w:sz w:val="21"/>
          <w:szCs w:val="21"/>
        </w:rPr>
        <w:t xml:space="preserve"> </w:t>
      </w:r>
      <w:proofErr w:type="gramStart"/>
      <w:r>
        <w:rPr>
          <w:rFonts w:ascii="Arial" w:hAnsi="Arial" w:cs="Arial"/>
          <w:color w:val="333333"/>
          <w:sz w:val="21"/>
          <w:szCs w:val="21"/>
        </w:rPr>
        <w:t>состоянии .</w:t>
      </w:r>
      <w:proofErr w:type="gramEnd"/>
      <w:r>
        <w:rPr>
          <w:rFonts w:ascii="Arial" w:hAnsi="Arial" w:cs="Arial"/>
          <w:color w:val="333333"/>
          <w:sz w:val="21"/>
          <w:szCs w:val="21"/>
        </w:rPr>
        <w:t xml:space="preserve"> 27В</w:t>
      </w:r>
    </w:p>
    <w:p w14:paraId="1ADCA3B7"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Роль поверхностных слоев в локализации разрушения</w:t>
      </w:r>
    </w:p>
    <w:p w14:paraId="1D817455"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Анализ данных и выводы по </w:t>
      </w:r>
      <w:proofErr w:type="spellStart"/>
      <w:r>
        <w:rPr>
          <w:rFonts w:ascii="Arial" w:hAnsi="Arial" w:cs="Arial"/>
          <w:color w:val="333333"/>
          <w:sz w:val="21"/>
          <w:szCs w:val="21"/>
        </w:rPr>
        <w:t>гл.У</w:t>
      </w:r>
      <w:proofErr w:type="spellEnd"/>
      <w:r>
        <w:rPr>
          <w:rFonts w:ascii="Arial" w:hAnsi="Arial" w:cs="Arial"/>
          <w:color w:val="333333"/>
          <w:sz w:val="21"/>
          <w:szCs w:val="21"/>
        </w:rPr>
        <w:t>.</w:t>
      </w:r>
    </w:p>
    <w:p w14:paraId="0A5893FC"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ОБРАТИМЫЙ ХАРАКТЕР НАЧАЛЬНОЙ СТАДИИ</w:t>
      </w:r>
    </w:p>
    <w:p w14:paraId="0331D962"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РАЗРУШЕНИЯ - ЗАЛЕЧИВАНИЕ МИКРОТРЕЩИН.</w:t>
      </w:r>
    </w:p>
    <w:p w14:paraId="2A6D25DF"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Энергия активации залечивания микротрещин</w:t>
      </w:r>
    </w:p>
    <w:p w14:paraId="3852A85E"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Залечивание микротрещин и долговечность металлов и сплавов. Некоторые </w:t>
      </w:r>
      <w:proofErr w:type="spellStart"/>
      <w:r>
        <w:rPr>
          <w:rFonts w:ascii="Arial" w:hAnsi="Arial" w:cs="Arial"/>
          <w:color w:val="333333"/>
          <w:sz w:val="21"/>
          <w:szCs w:val="21"/>
        </w:rPr>
        <w:t>воцросы</w:t>
      </w:r>
      <w:proofErr w:type="spellEnd"/>
      <w:r>
        <w:rPr>
          <w:rFonts w:ascii="Arial" w:hAnsi="Arial" w:cs="Arial"/>
          <w:color w:val="333333"/>
          <w:sz w:val="21"/>
          <w:szCs w:val="21"/>
        </w:rPr>
        <w:t xml:space="preserve"> взаимосвязи деформации и разрушения</w:t>
      </w:r>
    </w:p>
    <w:p w14:paraId="5611EC26" w14:textId="77777777" w:rsidR="001A7B28" w:rsidRDefault="001A7B28" w:rsidP="001A7B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Обсуждение данных и выводы по </w:t>
      </w:r>
      <w:proofErr w:type="spellStart"/>
      <w:proofErr w:type="gramStart"/>
      <w:r>
        <w:rPr>
          <w:rFonts w:ascii="Arial" w:hAnsi="Arial" w:cs="Arial"/>
          <w:color w:val="333333"/>
          <w:sz w:val="21"/>
          <w:szCs w:val="21"/>
        </w:rPr>
        <w:t>гл.У</w:t>
      </w:r>
      <w:proofErr w:type="spellEnd"/>
      <w:proofErr w:type="gramEnd"/>
    </w:p>
    <w:p w14:paraId="071EBB05" w14:textId="32D8A506" w:rsidR="00E67B85" w:rsidRPr="001A7B28" w:rsidRDefault="00E67B85" w:rsidP="001A7B28"/>
    <w:sectPr w:rsidR="00E67B85" w:rsidRPr="001A7B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70BC" w14:textId="77777777" w:rsidR="000D6AF1" w:rsidRDefault="000D6AF1">
      <w:pPr>
        <w:spacing w:after="0" w:line="240" w:lineRule="auto"/>
      </w:pPr>
      <w:r>
        <w:separator/>
      </w:r>
    </w:p>
  </w:endnote>
  <w:endnote w:type="continuationSeparator" w:id="0">
    <w:p w14:paraId="61081BB5" w14:textId="77777777" w:rsidR="000D6AF1" w:rsidRDefault="000D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BFB2" w14:textId="77777777" w:rsidR="000D6AF1" w:rsidRDefault="000D6AF1"/>
    <w:p w14:paraId="39DFDECA" w14:textId="77777777" w:rsidR="000D6AF1" w:rsidRDefault="000D6AF1"/>
    <w:p w14:paraId="5C72BE07" w14:textId="77777777" w:rsidR="000D6AF1" w:rsidRDefault="000D6AF1"/>
    <w:p w14:paraId="38F0F9CB" w14:textId="77777777" w:rsidR="000D6AF1" w:rsidRDefault="000D6AF1"/>
    <w:p w14:paraId="0FABC621" w14:textId="77777777" w:rsidR="000D6AF1" w:rsidRDefault="000D6AF1"/>
    <w:p w14:paraId="4BDC8A3F" w14:textId="77777777" w:rsidR="000D6AF1" w:rsidRDefault="000D6AF1"/>
    <w:p w14:paraId="66B07DCF" w14:textId="77777777" w:rsidR="000D6AF1" w:rsidRDefault="000D6A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6F0F82" wp14:editId="2AB2CF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F76A" w14:textId="77777777" w:rsidR="000D6AF1" w:rsidRDefault="000D6A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F0F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45F76A" w14:textId="77777777" w:rsidR="000D6AF1" w:rsidRDefault="000D6A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D74FC2" w14:textId="77777777" w:rsidR="000D6AF1" w:rsidRDefault="000D6AF1"/>
    <w:p w14:paraId="2E1B8BFC" w14:textId="77777777" w:rsidR="000D6AF1" w:rsidRDefault="000D6AF1"/>
    <w:p w14:paraId="71D61976" w14:textId="77777777" w:rsidR="000D6AF1" w:rsidRDefault="000D6A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C5F96F" wp14:editId="4DFEE4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EF05" w14:textId="77777777" w:rsidR="000D6AF1" w:rsidRDefault="000D6AF1"/>
                          <w:p w14:paraId="0BC13ECE" w14:textId="77777777" w:rsidR="000D6AF1" w:rsidRDefault="000D6A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C5F9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3FEF05" w14:textId="77777777" w:rsidR="000D6AF1" w:rsidRDefault="000D6AF1"/>
                    <w:p w14:paraId="0BC13ECE" w14:textId="77777777" w:rsidR="000D6AF1" w:rsidRDefault="000D6A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9BB8AE" w14:textId="77777777" w:rsidR="000D6AF1" w:rsidRDefault="000D6AF1"/>
    <w:p w14:paraId="1A08CBF2" w14:textId="77777777" w:rsidR="000D6AF1" w:rsidRDefault="000D6AF1">
      <w:pPr>
        <w:rPr>
          <w:sz w:val="2"/>
          <w:szCs w:val="2"/>
        </w:rPr>
      </w:pPr>
    </w:p>
    <w:p w14:paraId="5E84C97F" w14:textId="77777777" w:rsidR="000D6AF1" w:rsidRDefault="000D6AF1"/>
    <w:p w14:paraId="2732EB06" w14:textId="77777777" w:rsidR="000D6AF1" w:rsidRDefault="000D6AF1">
      <w:pPr>
        <w:spacing w:after="0" w:line="240" w:lineRule="auto"/>
      </w:pPr>
    </w:p>
  </w:footnote>
  <w:footnote w:type="continuationSeparator" w:id="0">
    <w:p w14:paraId="09B93F01" w14:textId="77777777" w:rsidR="000D6AF1" w:rsidRDefault="000D6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AF1"/>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114137</TotalTime>
  <Pages>3</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2157</cp:revision>
  <cp:lastPrinted>2009-02-06T05:36:00Z</cp:lastPrinted>
  <dcterms:created xsi:type="dcterms:W3CDTF">2024-01-07T13:43:00Z</dcterms:created>
  <dcterms:modified xsi:type="dcterms:W3CDTF">2025-06-15T20:37:00Z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