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699A8" w14:textId="2A57A4C3" w:rsidR="00187F89" w:rsidRDefault="00AA45C4" w:rsidP="00AA45C4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Дуброва Олександр Євгенович. Закономірності формування та абразивного застосування двокаркасних металополімерних композитів з порошкових алмазів та кубоніту : Дис... канд. наук: 05.02.01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2008</w:t>
      </w:r>
    </w:p>
    <w:p w14:paraId="5120693E" w14:textId="77777777" w:rsidR="00AA45C4" w:rsidRPr="00AA45C4" w:rsidRDefault="00AA45C4" w:rsidP="00AA45C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A45C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Дуброва О. Є. Закономірності формування та абразивного застосування двокаркасних металополімерних композитів з порошкових алмазів та кубоніту. – Рукопис.</w:t>
      </w:r>
    </w:p>
    <w:p w14:paraId="637249BC" w14:textId="77777777" w:rsidR="00AA45C4" w:rsidRPr="00AA45C4" w:rsidRDefault="00AA45C4" w:rsidP="00AA45C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A45C4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технічних наук за спеціальністю 05.02.01 – Матеріалознавство. Інститут надтвердих матеріалів ім. В.М. Бакуля НАН України, Київ, 2008.</w:t>
      </w:r>
    </w:p>
    <w:p w14:paraId="3283A5D0" w14:textId="77777777" w:rsidR="00AA45C4" w:rsidRPr="00AA45C4" w:rsidRDefault="00AA45C4" w:rsidP="00AA45C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A45C4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Дисертацію присвячено проблемі створення зносостійких металополімерних композитів з НТМ для шліфувального інструменту завдяки спрямованому формуванню двокаркасної структури композиту та введення в неї необхідних функціональних добавок.</w:t>
      </w:r>
    </w:p>
    <w:p w14:paraId="7F7CE158" w14:textId="77777777" w:rsidR="00AA45C4" w:rsidRPr="00AA45C4" w:rsidRDefault="00AA45C4" w:rsidP="00AA45C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A45C4">
        <w:rPr>
          <w:rFonts w:ascii="Times New Roman" w:eastAsia="Times New Roman" w:hAnsi="Times New Roman" w:cs="Times New Roman"/>
          <w:color w:val="000000"/>
          <w:sz w:val="27"/>
          <w:szCs w:val="27"/>
        </w:rPr>
        <w:t>Встановлені закономірності формування металополімерних композитів з НТМ на основі Cu, Sn, фенолформальдегідних олігомерів (ПБ) з функціональними добавками та виявлено, що умовою формування металевого каркасу є початок утворення в композиті інтерметалідів (Cu</w:t>
      </w:r>
      <w:r w:rsidRPr="00AA45C4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</w:rPr>
        <w:t>6</w:t>
      </w:r>
      <w:r w:rsidRPr="00AA45C4">
        <w:rPr>
          <w:rFonts w:ascii="Times New Roman" w:eastAsia="Times New Roman" w:hAnsi="Times New Roman" w:cs="Times New Roman"/>
          <w:color w:val="000000"/>
          <w:sz w:val="27"/>
          <w:szCs w:val="27"/>
        </w:rPr>
        <w:t>Sn</w:t>
      </w:r>
      <w:r w:rsidRPr="00AA45C4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</w:rPr>
        <w:t>5</w:t>
      </w:r>
      <w:r w:rsidRPr="00AA45C4">
        <w:rPr>
          <w:rFonts w:ascii="Times New Roman" w:eastAsia="Times New Roman" w:hAnsi="Times New Roman" w:cs="Times New Roman"/>
          <w:color w:val="000000"/>
          <w:sz w:val="27"/>
          <w:szCs w:val="27"/>
        </w:rPr>
        <w:t> і Cu</w:t>
      </w:r>
      <w:r w:rsidRPr="00AA45C4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</w:rPr>
        <w:t>3</w:t>
      </w:r>
      <w:r w:rsidRPr="00AA45C4">
        <w:rPr>
          <w:rFonts w:ascii="Times New Roman" w:eastAsia="Times New Roman" w:hAnsi="Times New Roman" w:cs="Times New Roman"/>
          <w:color w:val="000000"/>
          <w:sz w:val="27"/>
          <w:szCs w:val="27"/>
        </w:rPr>
        <w:t>Sn), а умовою збереження полімерного каркасу є обмеження температури спікання до 250 С, вище якої починається його деструкція, це визначає температурні умови спрямованого формування зносостійкого двокаркасного абразивного металополімерного композиту. Розроблені нові металополімерні абразивні композити з НТМ: Cu–Sn–ПБ–MoS</w:t>
      </w:r>
      <w:r w:rsidRPr="00AA45C4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</w:rPr>
        <w:t>2</w:t>
      </w:r>
      <w:r w:rsidRPr="00AA45C4">
        <w:rPr>
          <w:rFonts w:ascii="Times New Roman" w:eastAsia="Times New Roman" w:hAnsi="Times New Roman" w:cs="Times New Roman"/>
          <w:color w:val="000000"/>
          <w:sz w:val="27"/>
          <w:szCs w:val="27"/>
        </w:rPr>
        <w:t>, Cu–Sn–ПБ–графіт, Cu–Sn–ПБ–MoS</w:t>
      </w:r>
      <w:r w:rsidRPr="00AA45C4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</w:rPr>
        <w:t>2</w:t>
      </w:r>
      <w:r w:rsidRPr="00AA45C4">
        <w:rPr>
          <w:rFonts w:ascii="Times New Roman" w:eastAsia="Times New Roman" w:hAnsi="Times New Roman" w:cs="Times New Roman"/>
          <w:color w:val="000000"/>
          <w:sz w:val="27"/>
          <w:szCs w:val="27"/>
        </w:rPr>
        <w:t>–графіт. Застосування програмованого процесу спікання металополімерного композиту дозволило досягти більшої однорідності в композиті, яка визначається зменшенням показника структурної неоднорідності (анізотропії) з 70 до 15 %. Створення двокаркасних металополімерних композитів у якості зв’язок для шліфувального інструменту дозволяє підвищити зносостійкість кругів у 1,4–2,1 рази при збереженні шорсткості оброблюваної поверхні 0,16–0,20 мкм при обробці інструментальних сталей та твердих сплавів.</w:t>
      </w:r>
    </w:p>
    <w:p w14:paraId="0279E524" w14:textId="77777777" w:rsidR="00AA45C4" w:rsidRPr="00AA45C4" w:rsidRDefault="00AA45C4" w:rsidP="00AA45C4"/>
    <w:sectPr w:rsidR="00AA45C4" w:rsidRPr="00AA45C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02253" w14:textId="77777777" w:rsidR="001C54CD" w:rsidRDefault="001C54CD">
      <w:pPr>
        <w:spacing w:after="0" w:line="240" w:lineRule="auto"/>
      </w:pPr>
      <w:r>
        <w:separator/>
      </w:r>
    </w:p>
  </w:endnote>
  <w:endnote w:type="continuationSeparator" w:id="0">
    <w:p w14:paraId="50A66CBF" w14:textId="77777777" w:rsidR="001C54CD" w:rsidRDefault="001C54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1234E" w14:textId="77777777" w:rsidR="001C54CD" w:rsidRDefault="001C54CD">
      <w:pPr>
        <w:spacing w:after="0" w:line="240" w:lineRule="auto"/>
      </w:pPr>
      <w:r>
        <w:separator/>
      </w:r>
    </w:p>
  </w:footnote>
  <w:footnote w:type="continuationSeparator" w:id="0">
    <w:p w14:paraId="3BD63AA8" w14:textId="77777777" w:rsidR="001C54CD" w:rsidRDefault="001C54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C54C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E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15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AFB"/>
    <w:rsid w:val="00111B49"/>
    <w:rsid w:val="00111B6E"/>
    <w:rsid w:val="00111BBC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230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A31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4CD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C45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175"/>
    <w:rsid w:val="00246218"/>
    <w:rsid w:val="0024629F"/>
    <w:rsid w:val="002463AE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F8E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4956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0C3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03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857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651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5FC4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1D5"/>
    <w:rsid w:val="005B53F4"/>
    <w:rsid w:val="005B5972"/>
    <w:rsid w:val="005B5FBB"/>
    <w:rsid w:val="005B62AE"/>
    <w:rsid w:val="005B6A97"/>
    <w:rsid w:val="005B6E23"/>
    <w:rsid w:val="005B7589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9DB"/>
    <w:rsid w:val="005E4B2A"/>
    <w:rsid w:val="005E4C41"/>
    <w:rsid w:val="005E4C8F"/>
    <w:rsid w:val="005E4D28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2C82"/>
    <w:rsid w:val="005F3051"/>
    <w:rsid w:val="005F3280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4CA0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77D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FE9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4E6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2F6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727"/>
    <w:rsid w:val="00984732"/>
    <w:rsid w:val="009847FA"/>
    <w:rsid w:val="00984AA9"/>
    <w:rsid w:val="00984DF8"/>
    <w:rsid w:val="00984FF7"/>
    <w:rsid w:val="009850F4"/>
    <w:rsid w:val="00985223"/>
    <w:rsid w:val="00985513"/>
    <w:rsid w:val="009855A1"/>
    <w:rsid w:val="00985735"/>
    <w:rsid w:val="009857FE"/>
    <w:rsid w:val="00985A4D"/>
    <w:rsid w:val="00985DA0"/>
    <w:rsid w:val="00985E7D"/>
    <w:rsid w:val="00985F8F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3C4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EEE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6EDD"/>
    <w:rsid w:val="00A57224"/>
    <w:rsid w:val="00A5734A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ED8"/>
    <w:rsid w:val="00B60271"/>
    <w:rsid w:val="00B603C0"/>
    <w:rsid w:val="00B6043A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8A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DEC"/>
    <w:rsid w:val="00B871D3"/>
    <w:rsid w:val="00B8743E"/>
    <w:rsid w:val="00B875F3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86D"/>
    <w:rsid w:val="00BD3A66"/>
    <w:rsid w:val="00BD3E6F"/>
    <w:rsid w:val="00BD3F5D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73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878"/>
    <w:rsid w:val="00D96A70"/>
    <w:rsid w:val="00D96CC5"/>
    <w:rsid w:val="00D96D5A"/>
    <w:rsid w:val="00D96E64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6C7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84E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9A"/>
    <w:rsid w:val="00E854BF"/>
    <w:rsid w:val="00E85853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4FF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A7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B66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78315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2683</cp:revision>
  <dcterms:created xsi:type="dcterms:W3CDTF">2024-06-20T08:51:00Z</dcterms:created>
  <dcterms:modified xsi:type="dcterms:W3CDTF">2024-11-22T16:50:00Z</dcterms:modified>
  <cp:category/>
</cp:coreProperties>
</file>