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C3F9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Разумов, Денис Вячеславович. Обучение теннисистов 12-14 лет тактике реализации подачи : диссертация ... кандидата педагогических наук : 13.00.04 / Разумов Денис Вячеславович; [Место защиты: Поволж. гос. акад. физ. культуры, спорта и туризма].- Набережные Челны, 2012.- 195 с.: ил. РГБ ОД, 61 12-13/785</w:t>
      </w:r>
    </w:p>
    <w:p w14:paraId="7ED6FE98" w14:textId="77777777" w:rsidR="00BF3F52" w:rsidRPr="00BF3F52" w:rsidRDefault="00BF3F52" w:rsidP="00BF3F52">
      <w:pPr>
        <w:rPr>
          <w:rStyle w:val="41"/>
          <w:color w:val="000000"/>
        </w:rPr>
      </w:pPr>
    </w:p>
    <w:p w14:paraId="18F216F1" w14:textId="77777777" w:rsidR="00BF3F52" w:rsidRPr="00BF3F52" w:rsidRDefault="00BF3F52" w:rsidP="00BF3F52">
      <w:pPr>
        <w:rPr>
          <w:rStyle w:val="41"/>
          <w:color w:val="000000"/>
        </w:rPr>
      </w:pPr>
    </w:p>
    <w:p w14:paraId="1A66C9A2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ФГОУ ВПО «ПОВОЛЖСКАЯ ГОСУДАРСТВЕННАЯ АКАДЕМИЯ ФИЗИ-</w:t>
      </w:r>
    </w:p>
    <w:p w14:paraId="74521A86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ЧЕСКОЙ КУЛЬТУРЫ, СПОРТА И ТУРИЗМА»</w:t>
      </w:r>
    </w:p>
    <w:p w14:paraId="0CD07C3F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На правах рукописи</w:t>
      </w:r>
    </w:p>
    <w:p w14:paraId="353B3037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 xml:space="preserve"> </w:t>
      </w:r>
    </w:p>
    <w:p w14:paraId="3AB571B7" w14:textId="77777777" w:rsidR="00BF3F52" w:rsidRPr="00BF3F52" w:rsidRDefault="00BF3F52" w:rsidP="00BF3F52">
      <w:pPr>
        <w:rPr>
          <w:rStyle w:val="41"/>
          <w:color w:val="000000"/>
        </w:rPr>
      </w:pPr>
    </w:p>
    <w:p w14:paraId="5DD85B1C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РАЗУМОВ Денис Вячеславович</w:t>
      </w:r>
    </w:p>
    <w:p w14:paraId="502C3503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ОБУЧЕНИЕ ТЕННИСИСТОВ 12-14 ЛЕТ</w:t>
      </w:r>
    </w:p>
    <w:p w14:paraId="4AFA86E3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ТАКТИКЕ РЕАЛИЗАЦИИ ПОДАЧИ</w:t>
      </w:r>
    </w:p>
    <w:p w14:paraId="0815814B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13.00.04 - теория и методика физического воспитания, спортивной</w:t>
      </w:r>
    </w:p>
    <w:p w14:paraId="3C0DD105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тренировки, оздоровительной и адаптивной физической культуры</w:t>
      </w:r>
    </w:p>
    <w:p w14:paraId="79187E2F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Диссертация на соискание</w:t>
      </w:r>
    </w:p>
    <w:p w14:paraId="3BADDB51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ученой степени кандидата педагогических наук</w:t>
      </w:r>
    </w:p>
    <w:p w14:paraId="17C39136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Научный руководитель: доктор педагогических наук, профессор Кузнецова 3. М.</w:t>
      </w:r>
    </w:p>
    <w:p w14:paraId="44A695D7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 xml:space="preserve">Набережные Челны 2012 </w:t>
      </w:r>
    </w:p>
    <w:p w14:paraId="45CF2F0C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ОГЛАВЛЕНИЕ</w:t>
      </w:r>
    </w:p>
    <w:p w14:paraId="384CC650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ВВЕДЕНИЕ</w:t>
      </w:r>
      <w:r w:rsidRPr="00BF3F52">
        <w:rPr>
          <w:rStyle w:val="41"/>
          <w:color w:val="000000"/>
        </w:rPr>
        <w:tab/>
        <w:t xml:space="preserve">  4</w:t>
      </w:r>
    </w:p>
    <w:p w14:paraId="7460B490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ГЛАВА 1. СОСТОЯНИЕ ВОПРОСА: АНАЛИЗ ПРАКТИКИ ДЕТСКОГО ТЕННИСА, ЛИТЕРАТУРНЫЙ ОБЗОР</w:t>
      </w:r>
      <w:r w:rsidRPr="00BF3F52">
        <w:rPr>
          <w:rStyle w:val="41"/>
          <w:color w:val="000000"/>
        </w:rPr>
        <w:tab/>
        <w:t>11</w:t>
      </w:r>
    </w:p>
    <w:p w14:paraId="3CFBFFC9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1.1.</w:t>
      </w:r>
      <w:r w:rsidRPr="00BF3F52">
        <w:rPr>
          <w:rStyle w:val="41"/>
          <w:color w:val="000000"/>
        </w:rPr>
        <w:tab/>
        <w:t>Концепции некоторых научных теорий в аспекте стратегии и тактики иг¬ры в теннис</w:t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  <w:t>11</w:t>
      </w:r>
    </w:p>
    <w:p w14:paraId="2A908515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1.2.</w:t>
      </w:r>
      <w:r w:rsidRPr="00BF3F52">
        <w:rPr>
          <w:rStyle w:val="41"/>
          <w:color w:val="000000"/>
        </w:rPr>
        <w:tab/>
        <w:t>Мнения отечественных и зарубежных специалистов о значении подачи в</w:t>
      </w:r>
    </w:p>
    <w:p w14:paraId="054E3FEA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теннисе и обучении этому элементу игры</w:t>
      </w:r>
      <w:r w:rsidRPr="00BF3F52">
        <w:rPr>
          <w:rStyle w:val="41"/>
          <w:color w:val="000000"/>
        </w:rPr>
        <w:tab/>
        <w:t xml:space="preserve">  16</w:t>
      </w:r>
    </w:p>
    <w:p w14:paraId="25F699D9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1.3.</w:t>
      </w:r>
      <w:r w:rsidRPr="00BF3F52">
        <w:rPr>
          <w:rStyle w:val="41"/>
          <w:color w:val="000000"/>
        </w:rPr>
        <w:tab/>
        <w:t xml:space="preserve">Методологические походы к обучению тактике реализации подачи в тен¬нисе </w:t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  <w:t>31</w:t>
      </w:r>
    </w:p>
    <w:p w14:paraId="0078E943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Выводы по первой главе</w:t>
      </w:r>
      <w:r w:rsidRPr="00BF3F52">
        <w:rPr>
          <w:rStyle w:val="41"/>
          <w:color w:val="000000"/>
        </w:rPr>
        <w:tab/>
        <w:t>33</w:t>
      </w:r>
    </w:p>
    <w:p w14:paraId="39995122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ГЛАВА 2. МЕТОДЫ И ОРГАНИЗАЦИЯ ИССЛЕДОВАНИЯ</w:t>
      </w:r>
      <w:r w:rsidRPr="00BF3F52">
        <w:rPr>
          <w:rStyle w:val="41"/>
          <w:color w:val="000000"/>
        </w:rPr>
        <w:tab/>
        <w:t>35</w:t>
      </w:r>
    </w:p>
    <w:p w14:paraId="49CA5C1F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 xml:space="preserve">ГЛАВА 3. ТАКТИКА ПОДАЧИ В ТЕННИСЕ: ТЕОРЕТИЧЕСКОЕ ОБОСНО-ВАНИЕ ЭФФЕКТИВНОСТИ </w:t>
      </w:r>
      <w:r w:rsidRPr="00BF3F52">
        <w:rPr>
          <w:rStyle w:val="41"/>
          <w:color w:val="000000"/>
        </w:rPr>
        <w:tab/>
        <w:t xml:space="preserve">   38</w:t>
      </w:r>
    </w:p>
    <w:p w14:paraId="733CDD3C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3.1 Особенности подачи как игрового элемента тенниса. Структура целей по¬</w:t>
      </w:r>
    </w:p>
    <w:p w14:paraId="01004E0C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lastRenderedPageBreak/>
        <w:t>дачи</w:t>
      </w:r>
      <w:r w:rsidRPr="00BF3F52">
        <w:rPr>
          <w:rStyle w:val="41"/>
          <w:color w:val="000000"/>
        </w:rPr>
        <w:tab/>
        <w:t>38</w:t>
      </w:r>
    </w:p>
    <w:p w14:paraId="03BED098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3.2.</w:t>
      </w:r>
      <w:r w:rsidRPr="00BF3F52">
        <w:rPr>
          <w:rStyle w:val="41"/>
          <w:color w:val="000000"/>
        </w:rPr>
        <w:tab/>
        <w:t>Математическое моделирование попадания подачи</w:t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  <w:t>40</w:t>
      </w:r>
    </w:p>
    <w:p w14:paraId="4A550D78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3.3</w:t>
      </w:r>
      <w:r w:rsidRPr="00BF3F52">
        <w:rPr>
          <w:rStyle w:val="41"/>
          <w:color w:val="000000"/>
        </w:rPr>
        <w:tab/>
        <w:t>Математическое моделирование свершения подачи</w:t>
      </w:r>
      <w:r w:rsidRPr="00BF3F52">
        <w:rPr>
          <w:rStyle w:val="41"/>
          <w:color w:val="000000"/>
        </w:rPr>
        <w:tab/>
        <w:t>52</w:t>
      </w:r>
    </w:p>
    <w:p w14:paraId="3BF2870C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3.4</w:t>
      </w:r>
      <w:r w:rsidRPr="00BF3F52">
        <w:rPr>
          <w:rStyle w:val="41"/>
          <w:color w:val="000000"/>
        </w:rPr>
        <w:tab/>
        <w:t>Методика измерения и оценки эффективности подачи</w:t>
      </w:r>
      <w:r w:rsidRPr="00BF3F52">
        <w:rPr>
          <w:rStyle w:val="41"/>
          <w:color w:val="000000"/>
        </w:rPr>
        <w:tab/>
        <w:t>58</w:t>
      </w:r>
    </w:p>
    <w:p w14:paraId="6233B8C4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3.5</w:t>
      </w:r>
      <w:r w:rsidRPr="00BF3F52">
        <w:rPr>
          <w:rStyle w:val="41"/>
          <w:color w:val="000000"/>
        </w:rPr>
        <w:tab/>
        <w:t>Тактическое построение процесса розыгрыша очка</w:t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  <w:t>62</w:t>
      </w:r>
    </w:p>
    <w:p w14:paraId="75441622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3.6</w:t>
      </w:r>
      <w:r w:rsidRPr="00BF3F52">
        <w:rPr>
          <w:rStyle w:val="41"/>
          <w:color w:val="000000"/>
        </w:rPr>
        <w:tab/>
        <w:t>Надежность как критериальный показатель эффективности подачи юного</w:t>
      </w:r>
    </w:p>
    <w:p w14:paraId="50121BE0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теннисиста</w:t>
      </w:r>
      <w:r w:rsidRPr="00BF3F52">
        <w:rPr>
          <w:rStyle w:val="41"/>
          <w:color w:val="000000"/>
        </w:rPr>
        <w:tab/>
        <w:t>65</w:t>
      </w:r>
    </w:p>
    <w:p w14:paraId="61C42E39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Выводы по третьей главе</w:t>
      </w:r>
      <w:r w:rsidRPr="00BF3F52">
        <w:rPr>
          <w:rStyle w:val="41"/>
          <w:color w:val="000000"/>
        </w:rPr>
        <w:tab/>
        <w:t>67</w:t>
      </w:r>
    </w:p>
    <w:p w14:paraId="3E2E3658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ГЛАВА 4. ТЕОРЕТИЧЕСКОЕ И ЭКСПЕРИМЕНТАЛЬНОЕ ОБОСНОВАНИЕ ЭФФЕКТИВНОСТИ МЕТОДИКИ ОБУЧЕНИЯ ЮНЫХ ТЕННИСИСТОВ-</w:t>
      </w:r>
    </w:p>
    <w:p w14:paraId="0DE7AE8E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ТАКТИКЕ РЕАЛИЗАЦИИ ПОДАЧИ В ТЕННИСЕ</w:t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  <w:t>69</w:t>
      </w:r>
    </w:p>
    <w:p w14:paraId="0C20363C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4.1.</w:t>
      </w:r>
      <w:r w:rsidRPr="00BF3F52">
        <w:rPr>
          <w:rStyle w:val="41"/>
          <w:color w:val="000000"/>
        </w:rPr>
        <w:tab/>
        <w:t>Особенности выполнения подачи спортсменами детского и младшего подросткового возраста</w:t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</w:r>
      <w:r w:rsidRPr="00BF3F52">
        <w:rPr>
          <w:rStyle w:val="41"/>
          <w:color w:val="000000"/>
        </w:rPr>
        <w:tab/>
        <w:t xml:space="preserve">69 </w:t>
      </w:r>
    </w:p>
    <w:p w14:paraId="4ACD5B8F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з</w:t>
      </w:r>
    </w:p>
    <w:p w14:paraId="433E6CE4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4.2.</w:t>
      </w:r>
      <w:r w:rsidRPr="00BF3F52">
        <w:rPr>
          <w:rStyle w:val="41"/>
          <w:color w:val="000000"/>
        </w:rPr>
        <w:tab/>
        <w:t>Моделирование процесса технико-тактической подготовки юных тенни-систов</w:t>
      </w:r>
      <w:r w:rsidRPr="00BF3F52">
        <w:rPr>
          <w:rStyle w:val="41"/>
          <w:color w:val="000000"/>
        </w:rPr>
        <w:tab/>
        <w:t>74</w:t>
      </w:r>
    </w:p>
    <w:p w14:paraId="4CE44EE7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4.3.</w:t>
      </w:r>
      <w:r w:rsidRPr="00BF3F52">
        <w:rPr>
          <w:rStyle w:val="41"/>
          <w:color w:val="000000"/>
        </w:rPr>
        <w:tab/>
        <w:t>Методика оценки техники выполнения подачи юными теннисистами в</w:t>
      </w:r>
    </w:p>
    <w:p w14:paraId="6DB3D938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рамках текущего и этапного контроля</w:t>
      </w:r>
      <w:r w:rsidRPr="00BF3F52">
        <w:rPr>
          <w:rStyle w:val="41"/>
          <w:color w:val="000000"/>
        </w:rPr>
        <w:tab/>
        <w:t>78</w:t>
      </w:r>
    </w:p>
    <w:p w14:paraId="27A1295D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4.4.</w:t>
      </w:r>
      <w:r w:rsidRPr="00BF3F52">
        <w:rPr>
          <w:rStyle w:val="41"/>
          <w:color w:val="000000"/>
        </w:rPr>
        <w:tab/>
        <w:t>Особенности принятия решений по тактике реализации подачи тенниси-стами 12-14 лет</w:t>
      </w:r>
      <w:r w:rsidRPr="00BF3F52">
        <w:rPr>
          <w:rStyle w:val="41"/>
          <w:color w:val="000000"/>
        </w:rPr>
        <w:tab/>
        <w:t xml:space="preserve"> 82</w:t>
      </w:r>
    </w:p>
    <w:p w14:paraId="6CBC9D8A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4.5.</w:t>
      </w:r>
      <w:r w:rsidRPr="00BF3F52">
        <w:rPr>
          <w:rStyle w:val="41"/>
          <w:color w:val="000000"/>
        </w:rPr>
        <w:tab/>
        <w:t>Методика обучения юных теннисистов технике и тактике выполнения</w:t>
      </w:r>
    </w:p>
    <w:p w14:paraId="1AF49F49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подачи</w:t>
      </w:r>
      <w:r w:rsidRPr="00BF3F52">
        <w:rPr>
          <w:rStyle w:val="41"/>
          <w:color w:val="000000"/>
        </w:rPr>
        <w:tab/>
        <w:t xml:space="preserve">     88</w:t>
      </w:r>
    </w:p>
    <w:p w14:paraId="358F7994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4.6.</w:t>
      </w:r>
      <w:r w:rsidRPr="00BF3F52">
        <w:rPr>
          <w:rStyle w:val="41"/>
          <w:color w:val="000000"/>
        </w:rPr>
        <w:tab/>
        <w:t>Экспериментальное обоснование эффективности методики обучения де-тей тактике реализации подачи в теннисе</w:t>
      </w:r>
      <w:r w:rsidRPr="00BF3F52">
        <w:rPr>
          <w:rStyle w:val="41"/>
          <w:color w:val="000000"/>
        </w:rPr>
        <w:tab/>
        <w:t>97</w:t>
      </w:r>
    </w:p>
    <w:p w14:paraId="5C37F63C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ВЫВОДЫ</w:t>
      </w:r>
      <w:r w:rsidRPr="00BF3F52">
        <w:rPr>
          <w:rStyle w:val="41"/>
          <w:color w:val="000000"/>
        </w:rPr>
        <w:tab/>
        <w:t xml:space="preserve">  105</w:t>
      </w:r>
    </w:p>
    <w:p w14:paraId="69EE42F9" w14:textId="77777777" w:rsidR="00BF3F52" w:rsidRP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ЛИТЕРАТУРА</w:t>
      </w:r>
      <w:r w:rsidRPr="00BF3F52">
        <w:rPr>
          <w:rStyle w:val="41"/>
          <w:color w:val="000000"/>
        </w:rPr>
        <w:tab/>
        <w:t>108</w:t>
      </w:r>
    </w:p>
    <w:p w14:paraId="7055284E" w14:textId="66BBDB40" w:rsidR="00BF3F52" w:rsidRDefault="00BF3F52" w:rsidP="00BF3F52">
      <w:pPr>
        <w:rPr>
          <w:rStyle w:val="41"/>
          <w:color w:val="000000"/>
        </w:rPr>
      </w:pPr>
      <w:r w:rsidRPr="00BF3F52">
        <w:rPr>
          <w:rStyle w:val="41"/>
          <w:color w:val="000000"/>
        </w:rPr>
        <w:t>ПРИЛОЖЕНИЯ</w:t>
      </w:r>
      <w:r w:rsidRPr="00BF3F52">
        <w:rPr>
          <w:rStyle w:val="41"/>
          <w:color w:val="000000"/>
        </w:rPr>
        <w:tab/>
        <w:t>119</w:t>
      </w:r>
    </w:p>
    <w:p w14:paraId="4FD71B10" w14:textId="0A361579" w:rsidR="00BF3F52" w:rsidRDefault="00BF3F52" w:rsidP="00BF3F52">
      <w:pPr>
        <w:rPr>
          <w:rStyle w:val="41"/>
          <w:color w:val="000000"/>
        </w:rPr>
      </w:pPr>
    </w:p>
    <w:p w14:paraId="57E28292" w14:textId="27B7FD0C" w:rsidR="00BF3F52" w:rsidRDefault="00BF3F52" w:rsidP="00BF3F52">
      <w:pPr>
        <w:rPr>
          <w:rStyle w:val="41"/>
          <w:color w:val="000000"/>
        </w:rPr>
      </w:pPr>
    </w:p>
    <w:p w14:paraId="20439DAF" w14:textId="77777777" w:rsidR="00BF3F52" w:rsidRDefault="00BF3F52" w:rsidP="00BF3F52">
      <w:pPr>
        <w:pStyle w:val="42"/>
        <w:shd w:val="clear" w:color="auto" w:fill="auto"/>
        <w:spacing w:after="0"/>
        <w:ind w:left="20"/>
      </w:pPr>
      <w:r>
        <w:rPr>
          <w:rStyle w:val="41"/>
          <w:b/>
          <w:bCs/>
          <w:color w:val="000000"/>
        </w:rPr>
        <w:t>ВЫВОДЫ</w:t>
      </w:r>
    </w:p>
    <w:p w14:paraId="5D050AA7" w14:textId="77777777" w:rsidR="00BF3F52" w:rsidRDefault="00BF3F52" w:rsidP="00BF3F52">
      <w:pPr>
        <w:pStyle w:val="210"/>
        <w:numPr>
          <w:ilvl w:val="0"/>
          <w:numId w:val="32"/>
        </w:numPr>
        <w:shd w:val="clear" w:color="auto" w:fill="auto"/>
        <w:tabs>
          <w:tab w:val="left" w:pos="752"/>
        </w:tabs>
        <w:spacing w:before="0" w:after="0" w:line="480" w:lineRule="exact"/>
        <w:ind w:left="380" w:hanging="380"/>
        <w:jc w:val="both"/>
      </w:pPr>
      <w:r>
        <w:rPr>
          <w:rStyle w:val="21"/>
          <w:color w:val="000000"/>
        </w:rPr>
        <w:t>Анализ и обобщение научно-методической литературы показал, что рекомендации по тактике действий подающего игрока ориентированы, в первую очередь, на взрослых теннисистов с высоким уровнем физической, технической и теоретической подготовленности. Тактика действий подаю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щего игрока не рассматривается с учетом его возрастных, антропометри</w:t>
      </w:r>
      <w:r>
        <w:rPr>
          <w:rStyle w:val="21"/>
          <w:color w:val="000000"/>
        </w:rPr>
        <w:softHyphen/>
        <w:t>ческих, морфологических, психологических особенностей. Слабо отражена специфика тактического построения подачи юных спортсменов в плане ее теоретико-методического обоснования. Анализ характеристик выполнения подачи юными спортсменами в соревновательных условиях показал ее сла</w:t>
      </w:r>
      <w:r>
        <w:rPr>
          <w:rStyle w:val="21"/>
          <w:color w:val="000000"/>
        </w:rPr>
        <w:softHyphen/>
        <w:t>бое воздействие на результат розыгрыша очка. Выявленное противоречие обусловило необходимость теоретико-методической разработки данной проблемы.</w:t>
      </w:r>
    </w:p>
    <w:p w14:paraId="25769ED5" w14:textId="77777777" w:rsidR="00BF3F52" w:rsidRDefault="00BF3F52" w:rsidP="00BF3F52">
      <w:pPr>
        <w:pStyle w:val="210"/>
        <w:numPr>
          <w:ilvl w:val="0"/>
          <w:numId w:val="32"/>
        </w:numPr>
        <w:shd w:val="clear" w:color="auto" w:fill="auto"/>
        <w:tabs>
          <w:tab w:val="left" w:pos="752"/>
        </w:tabs>
        <w:spacing w:before="0" w:after="0" w:line="480" w:lineRule="exact"/>
        <w:ind w:left="380" w:hanging="380"/>
        <w:jc w:val="both"/>
      </w:pPr>
      <w:r>
        <w:rPr>
          <w:rStyle w:val="21"/>
          <w:color w:val="000000"/>
        </w:rPr>
        <w:t>Разработана модель обучения юных теннисистов технико-тактическим приемам выполнения подачи; предложен алгоритм выбора оптимальной тактики реализации подачи; составлена модель подготовительного процес</w:t>
      </w:r>
      <w:r>
        <w:rPr>
          <w:rStyle w:val="21"/>
          <w:color w:val="000000"/>
        </w:rPr>
        <w:softHyphen/>
        <w:t>са юных игроков. Разработана математическая модель достижения подачей ее первичной цели, в том числе с учетом вариативного состояния окру</w:t>
      </w:r>
      <w:r>
        <w:rPr>
          <w:rStyle w:val="21"/>
          <w:color w:val="000000"/>
        </w:rPr>
        <w:softHyphen/>
        <w:t>жающей среды - силы и направления ветра, земного тяготения выведена формула аналитического расчета попадания подачи. Выявлена математиче</w:t>
      </w:r>
      <w:r>
        <w:rPr>
          <w:rStyle w:val="21"/>
          <w:color w:val="000000"/>
        </w:rPr>
        <w:softHyphen/>
        <w:t>ская зависимость показателей попадания подачи от координат точки от</w:t>
      </w:r>
      <w:r>
        <w:rPr>
          <w:rStyle w:val="21"/>
          <w:color w:val="000000"/>
        </w:rPr>
        <w:softHyphen/>
        <w:t>правки подаваемого мяча.</w:t>
      </w:r>
    </w:p>
    <w:p w14:paraId="52B81603" w14:textId="77777777" w:rsidR="00BF3F52" w:rsidRDefault="00BF3F52" w:rsidP="00BF3F52">
      <w:pPr>
        <w:pStyle w:val="210"/>
        <w:numPr>
          <w:ilvl w:val="0"/>
          <w:numId w:val="32"/>
        </w:numPr>
        <w:shd w:val="clear" w:color="auto" w:fill="auto"/>
        <w:tabs>
          <w:tab w:val="left" w:pos="752"/>
        </w:tabs>
        <w:spacing w:before="0" w:after="0" w:line="480" w:lineRule="exact"/>
        <w:ind w:left="380" w:hanging="380"/>
        <w:jc w:val="both"/>
      </w:pPr>
      <w:r>
        <w:rPr>
          <w:rStyle w:val="21"/>
          <w:color w:val="000000"/>
        </w:rPr>
        <w:t>Обучение занимающихся тактике реализации подачи в теннисе основы</w:t>
      </w:r>
      <w:r>
        <w:rPr>
          <w:rStyle w:val="21"/>
          <w:color w:val="000000"/>
        </w:rPr>
        <w:softHyphen/>
        <w:t>вается на последовательном решении ряда задач, определяющих выбор средств и методов их реализации: привлечение внимания спортсменов к необходимости повышения эффективности тактики реализации подач (де</w:t>
      </w:r>
      <w:r>
        <w:rPr>
          <w:rStyle w:val="21"/>
          <w:color w:val="000000"/>
        </w:rPr>
        <w:softHyphen/>
        <w:t>монстрация характерных примеров соревновательной практики); формиро</w:t>
      </w:r>
      <w:r>
        <w:rPr>
          <w:rStyle w:val="21"/>
          <w:color w:val="000000"/>
        </w:rPr>
        <w:softHyphen/>
        <w:t>вание заинтересованности в поиске путей повышения эффективности так</w:t>
      </w:r>
      <w:r>
        <w:rPr>
          <w:rStyle w:val="21"/>
          <w:color w:val="000000"/>
        </w:rPr>
        <w:softHyphen/>
        <w:t>тики реализации подачи (ситуационный анализ в сочетании со словесным методом); приобретение знаний и представлений о физических закономер</w:t>
      </w:r>
      <w:r>
        <w:rPr>
          <w:rStyle w:val="21"/>
          <w:color w:val="000000"/>
        </w:rPr>
        <w:softHyphen/>
        <w:t>ностях подачи, влияния на процесс ее реализации факторов, характери</w:t>
      </w:r>
      <w:r>
        <w:rPr>
          <w:rStyle w:val="21"/>
          <w:color w:val="000000"/>
        </w:rPr>
        <w:softHyphen/>
        <w:t>зующих игровую обстановку (наглядно-образные аналогии, показ, объяс</w:t>
      </w:r>
      <w:r>
        <w:rPr>
          <w:rStyle w:val="21"/>
          <w:color w:val="000000"/>
        </w:rPr>
        <w:softHyphen/>
      </w:r>
      <w:r>
        <w:rPr>
          <w:rStyle w:val="21"/>
          <w:color w:val="000000"/>
        </w:rPr>
        <w:lastRenderedPageBreak/>
        <w:t>нение); развитие способности комплексной оценки факторов игровой об</w:t>
      </w:r>
      <w:r>
        <w:rPr>
          <w:rStyle w:val="21"/>
          <w:color w:val="000000"/>
        </w:rPr>
        <w:softHyphen/>
        <w:t>становки (анализ, обсуждение и моделирование ситуаций); формирование навыков выбора тактических решений, адекватных игровой обстановке и последующих действий подающего игрока (комплексы специальных уп</w:t>
      </w:r>
      <w:r>
        <w:rPr>
          <w:rStyle w:val="21"/>
          <w:color w:val="000000"/>
        </w:rPr>
        <w:softHyphen/>
        <w:t>ражнений).</w:t>
      </w:r>
    </w:p>
    <w:p w14:paraId="7B31599D" w14:textId="77777777" w:rsidR="00BF3F52" w:rsidRDefault="00BF3F52" w:rsidP="00BF3F52">
      <w:pPr>
        <w:pStyle w:val="210"/>
        <w:numPr>
          <w:ilvl w:val="0"/>
          <w:numId w:val="32"/>
        </w:numPr>
        <w:shd w:val="clear" w:color="auto" w:fill="auto"/>
        <w:tabs>
          <w:tab w:val="left" w:pos="828"/>
        </w:tabs>
        <w:spacing w:before="0" w:after="0" w:line="480" w:lineRule="exact"/>
        <w:ind w:left="400" w:hanging="400"/>
        <w:jc w:val="left"/>
      </w:pPr>
      <w:r>
        <w:rPr>
          <w:rStyle w:val="21"/>
          <w:color w:val="000000"/>
        </w:rPr>
        <w:t>Выявлены факторы, определяющие эффективность процесса реализа</w:t>
      </w:r>
      <w:r>
        <w:rPr>
          <w:rStyle w:val="21"/>
          <w:color w:val="000000"/>
        </w:rPr>
        <w:softHyphen/>
        <w:t>ции подачи в теннисе: систематизация целей подачи; направленность тех</w:t>
      </w:r>
      <w:r>
        <w:rPr>
          <w:rStyle w:val="21"/>
          <w:color w:val="000000"/>
        </w:rPr>
        <w:softHyphen/>
        <w:t>нической подготовки и ее достаточность; функциональная зависимость по</w:t>
      </w:r>
      <w:r>
        <w:rPr>
          <w:rStyle w:val="21"/>
          <w:color w:val="000000"/>
        </w:rPr>
        <w:softHyphen/>
        <w:t>казателей попадания подачи от координат точки отправки подаваемого мя</w:t>
      </w:r>
      <w:r>
        <w:rPr>
          <w:rStyle w:val="21"/>
          <w:color w:val="000000"/>
        </w:rPr>
        <w:softHyphen/>
        <w:t>ча; обоснована надежность подачи как критериального показателя ее эф</w:t>
      </w:r>
      <w:r>
        <w:rPr>
          <w:rStyle w:val="21"/>
          <w:color w:val="000000"/>
        </w:rPr>
        <w:softHyphen/>
        <w:t>фективности. Надежность подачи, помимо наличия у игрока надлежащей технической подготовки, обеспечивается комплексом других факторов: эмоциональных, волевых, коммуникативных. Часть из них является ото</w:t>
      </w:r>
      <w:r>
        <w:rPr>
          <w:rStyle w:val="21"/>
          <w:color w:val="000000"/>
        </w:rPr>
        <w:softHyphen/>
        <w:t>бражением личностных характеристик индивидуума, другая - производной обучения спортсмена.</w:t>
      </w:r>
    </w:p>
    <w:p w14:paraId="2F47C4C9" w14:textId="77777777" w:rsidR="00BF3F52" w:rsidRDefault="00BF3F52" w:rsidP="00BF3F52">
      <w:pPr>
        <w:pStyle w:val="210"/>
        <w:numPr>
          <w:ilvl w:val="0"/>
          <w:numId w:val="32"/>
        </w:numPr>
        <w:shd w:val="clear" w:color="auto" w:fill="auto"/>
        <w:tabs>
          <w:tab w:val="left" w:pos="828"/>
        </w:tabs>
        <w:spacing w:before="0" w:after="0" w:line="480" w:lineRule="exact"/>
        <w:ind w:left="400" w:hanging="400"/>
        <w:jc w:val="both"/>
      </w:pPr>
      <w:r>
        <w:rPr>
          <w:rStyle w:val="21"/>
          <w:color w:val="000000"/>
        </w:rPr>
        <w:t>Математико-статистическая обработка результатов опытно</w:t>
      </w:r>
      <w:r>
        <w:rPr>
          <w:rStyle w:val="21"/>
          <w:color w:val="000000"/>
        </w:rPr>
        <w:softHyphen/>
        <w:t>экспериментального исследования выявила статистически значимые разли</w:t>
      </w:r>
      <w:r>
        <w:rPr>
          <w:rStyle w:val="21"/>
          <w:color w:val="000000"/>
        </w:rPr>
        <w:softHyphen/>
        <w:t>чия по всем исследуемым показателям теннисистов контрольных и экспе</w:t>
      </w:r>
      <w:r>
        <w:rPr>
          <w:rStyle w:val="21"/>
          <w:color w:val="000000"/>
        </w:rPr>
        <w:softHyphen/>
        <w:t>риментальной групп; тесную корреляционную связь умения моделировать свои действия занимающимися экспериментальной группы с показателями эффективности выполнения подачи. Особой значимостью характеризуется взаимозависимость между оценочным показателем «моделирования игро</w:t>
      </w:r>
      <w:r>
        <w:rPr>
          <w:rStyle w:val="21"/>
          <w:color w:val="000000"/>
        </w:rPr>
        <w:softHyphen/>
        <w:t>вых ситуаций» и сопутствующими параметрами тестирования подростков экспериментальной группы, где коэффициенты корреляции находятся на уровне от умеренной до тесной. Так, значение коэффициента корреляции между результатами «контрольный опрос», «попадание 1-ой подачи» и «экспертная оценка эффективности 2-ой подачи» свидетельствует о нали</w:t>
      </w:r>
      <w:r>
        <w:rPr>
          <w:rStyle w:val="21"/>
          <w:color w:val="000000"/>
        </w:rPr>
        <w:softHyphen/>
        <w:t xml:space="preserve">чии </w:t>
      </w:r>
      <w:r>
        <w:rPr>
          <w:rStyle w:val="21"/>
          <w:color w:val="000000"/>
        </w:rPr>
        <w:lastRenderedPageBreak/>
        <w:t>средней положительной взаимосвязи, которая статистически значима (ро=0,541, ро=0,625, ро=0,602). Значения попадания 2-й подачи и эксперт</w:t>
      </w:r>
      <w:r>
        <w:rPr>
          <w:rStyle w:val="21"/>
          <w:color w:val="000000"/>
        </w:rPr>
        <w:softHyphen/>
        <w:t>ной оценке ее эффективности подачи также соответствуют средней положи</w:t>
      </w:r>
      <w:r>
        <w:rPr>
          <w:rStyle w:val="21"/>
          <w:color w:val="000000"/>
        </w:rPr>
        <w:softHyphen/>
        <w:t xml:space="preserve">тельной взаимосвязи, однако, статистически </w:t>
      </w:r>
      <w:r>
        <w:rPr>
          <w:rStyle w:val="21"/>
          <w:color w:val="000000"/>
          <w:lang w:val="uk-UA" w:eastAsia="uk-UA"/>
        </w:rPr>
        <w:t xml:space="preserve">незначима </w:t>
      </w:r>
      <w:r>
        <w:rPr>
          <w:rStyle w:val="21"/>
          <w:color w:val="000000"/>
        </w:rPr>
        <w:t>при а=0.05 (ро=0,378, ро=0,394). Теснота связи свидетельствует о достоверности уме</w:t>
      </w:r>
      <w:r>
        <w:rPr>
          <w:rStyle w:val="21"/>
          <w:color w:val="000000"/>
        </w:rPr>
        <w:softHyphen/>
        <w:t>ния учащихся экспериментальной группы моделировать тактические дейст</w:t>
      </w:r>
      <w:r>
        <w:rPr>
          <w:rStyle w:val="21"/>
          <w:color w:val="000000"/>
        </w:rPr>
        <w:softHyphen/>
        <w:t xml:space="preserve">вия подающего спортсмена. В контрольных группах выраженной связи не наблюдается (ро=0,174, ро=0,143). В экспериментальной группе показатель теоретической подготовленности учащихся - «контрольный опрос» имеет также положительные корреляционные связи с показателем - «экспертная оценки эффективности подачи, 1-я подача» (ро=0,774 значимость при а </w:t>
      </w:r>
      <w:r>
        <w:rPr>
          <w:rStyle w:val="2113"/>
          <w:color w:val="000000"/>
        </w:rPr>
        <w:t>=</w:t>
      </w:r>
      <w:r>
        <w:rPr>
          <w:rStyle w:val="213pt4"/>
          <w:color w:val="000000"/>
        </w:rPr>
        <w:t>0</w:t>
      </w:r>
      <w:r>
        <w:rPr>
          <w:rStyle w:val="2113"/>
          <w:color w:val="000000"/>
        </w:rPr>
        <w:t>.</w:t>
      </w:r>
      <w:r>
        <w:rPr>
          <w:rStyle w:val="213pt4"/>
          <w:color w:val="000000"/>
        </w:rPr>
        <w:t>01</w:t>
      </w:r>
      <w:r>
        <w:rPr>
          <w:rStyle w:val="2113"/>
          <w:color w:val="000000"/>
        </w:rPr>
        <w:t>).</w:t>
      </w:r>
    </w:p>
    <w:p w14:paraId="58737F50" w14:textId="6F552A75" w:rsidR="00BF3F52" w:rsidRPr="00BF3F52" w:rsidRDefault="00BF3F52" w:rsidP="00BF3F52">
      <w:r>
        <w:rPr>
          <w:rStyle w:val="21"/>
          <w:color w:val="000000"/>
        </w:rPr>
        <w:t>Опытно-экспериментальная проверка эффективности методики обучения детей технико-тактическим вопросам реализации подачи показала ее пози</w:t>
      </w:r>
      <w:r>
        <w:rPr>
          <w:rStyle w:val="21"/>
          <w:color w:val="000000"/>
        </w:rPr>
        <w:softHyphen/>
        <w:t>тивное воздействие на спортивно-профессиональную подготовленность юных теннисистов. Подтверждена возможность обоснованного размещения модели обучения теннисистов 12-14 лет технико-тактическим вопросам реализации подачи, как составляющего модуля, в единой системе подготов</w:t>
      </w:r>
      <w:r>
        <w:rPr>
          <w:rStyle w:val="21"/>
          <w:color w:val="000000"/>
        </w:rPr>
        <w:softHyphen/>
        <w:t>ки квалифицированных спортсменов-теннисистов</w:t>
      </w:r>
    </w:p>
    <w:sectPr w:rsidR="00BF3F52" w:rsidRPr="00BF3F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295BE" w14:textId="77777777" w:rsidR="001712DD" w:rsidRDefault="001712DD">
      <w:pPr>
        <w:spacing w:after="0" w:line="240" w:lineRule="auto"/>
      </w:pPr>
      <w:r>
        <w:separator/>
      </w:r>
    </w:p>
  </w:endnote>
  <w:endnote w:type="continuationSeparator" w:id="0">
    <w:p w14:paraId="7DAB8A69" w14:textId="77777777" w:rsidR="001712DD" w:rsidRDefault="00171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5E7D3" w14:textId="77777777" w:rsidR="001712DD" w:rsidRDefault="001712DD">
      <w:pPr>
        <w:spacing w:after="0" w:line="240" w:lineRule="auto"/>
      </w:pPr>
      <w:r>
        <w:separator/>
      </w:r>
    </w:p>
  </w:footnote>
  <w:footnote w:type="continuationSeparator" w:id="0">
    <w:p w14:paraId="1FAA1952" w14:textId="77777777" w:rsidR="001712DD" w:rsidRDefault="00171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12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8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9" w15:restartNumberingAfterBreak="0">
    <w:nsid w:val="0000002F"/>
    <w:multiLevelType w:val="multilevel"/>
    <w:tmpl w:val="0000002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33"/>
    <w:multiLevelType w:val="multilevel"/>
    <w:tmpl w:val="0000003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3" w15:restartNumberingAfterBreak="0">
    <w:nsid w:val="0000003F"/>
    <w:multiLevelType w:val="multilevel"/>
    <w:tmpl w:val="0000003E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4" w15:restartNumberingAfterBreak="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 w15:restartNumberingAfterBreak="0">
    <w:nsid w:val="0000008D"/>
    <w:multiLevelType w:val="multilevel"/>
    <w:tmpl w:val="0000008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C9"/>
    <w:multiLevelType w:val="multilevel"/>
    <w:tmpl w:val="000000C8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EF"/>
    <w:multiLevelType w:val="multilevel"/>
    <w:tmpl w:val="000000EE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1425FA9"/>
    <w:multiLevelType w:val="hybridMultilevel"/>
    <w:tmpl w:val="783057F4"/>
    <w:lvl w:ilvl="0" w:tplc="BA04C3A0">
      <w:start w:val="1"/>
      <w:numFmt w:val="decimal"/>
      <w:lvlText w:val="%1."/>
      <w:lvlJc w:val="left"/>
      <w:pPr>
        <w:tabs>
          <w:tab w:val="num" w:pos="1921"/>
        </w:tabs>
        <w:ind w:left="1921" w:hanging="12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 w15:restartNumberingAfterBreak="0">
    <w:nsid w:val="054D7D43"/>
    <w:multiLevelType w:val="multilevel"/>
    <w:tmpl w:val="7786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B9B6316"/>
    <w:multiLevelType w:val="multilevel"/>
    <w:tmpl w:val="390A9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F12EF9"/>
    <w:multiLevelType w:val="multilevel"/>
    <w:tmpl w:val="708A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0"/>
  </w:num>
  <w:num w:numId="18">
    <w:abstractNumId w:val="1"/>
  </w:num>
  <w:num w:numId="19">
    <w:abstractNumId w:val="29"/>
  </w:num>
  <w:num w:numId="20">
    <w:abstractNumId w:val="31"/>
  </w:num>
  <w:num w:numId="21">
    <w:abstractNumId w:val="30"/>
  </w:num>
  <w:num w:numId="22">
    <w:abstractNumId w:val="19"/>
  </w:num>
  <w:num w:numId="23">
    <w:abstractNumId w:val="20"/>
  </w:num>
  <w:num w:numId="24">
    <w:abstractNumId w:val="21"/>
  </w:num>
  <w:num w:numId="25">
    <w:abstractNumId w:val="25"/>
  </w:num>
  <w:num w:numId="26">
    <w:abstractNumId w:val="26"/>
  </w:num>
  <w:num w:numId="27">
    <w:abstractNumId w:val="27"/>
  </w:num>
  <w:num w:numId="28">
    <w:abstractNumId w:val="22"/>
  </w:num>
  <w:num w:numId="29">
    <w:abstractNumId w:val="28"/>
  </w:num>
  <w:num w:numId="30">
    <w:abstractNumId w:val="17"/>
  </w:num>
  <w:num w:numId="31">
    <w:abstractNumId w:val="18"/>
  </w:num>
  <w:num w:numId="3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2DD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2AD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943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40872</TotalTime>
  <Pages>5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8232</cp:revision>
  <dcterms:created xsi:type="dcterms:W3CDTF">2024-06-20T08:51:00Z</dcterms:created>
  <dcterms:modified xsi:type="dcterms:W3CDTF">2024-07-31T15:04:00Z</dcterms:modified>
  <cp:category/>
</cp:coreProperties>
</file>