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0883D" w14:textId="3541A7A2" w:rsidR="00A8607F" w:rsidRDefault="00864FA3" w:rsidP="00864FA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РУМЯНЦЕВ Павел Александрович. Становление органов власти среднего Поволжья в переходный период российской государственности 1990-х гг.</w:t>
      </w:r>
      <w:bookmarkEnd w:id="0"/>
      <w:r>
        <w:rPr>
          <w:rFonts w:ascii="Verdana" w:hAnsi="Verdana"/>
          <w:color w:val="000000"/>
          <w:sz w:val="18"/>
          <w:szCs w:val="18"/>
          <w:shd w:val="clear" w:color="auto" w:fill="FFFFFF"/>
        </w:rPr>
        <w:t>: диссертация ... кандидата юридических наук: 12.00.01 / РУМЯНЦЕВ Павел Александрович;[Место защиты: Тольяттинский государственный университет].- Тольятти, 2015.- 234 с.</w:t>
      </w:r>
    </w:p>
    <w:p w14:paraId="587E0C6F" w14:textId="77777777" w:rsidR="00864FA3" w:rsidRPr="00864FA3" w:rsidRDefault="00864FA3" w:rsidP="00864FA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64FA3">
        <w:rPr>
          <w:rFonts w:ascii="Verdana" w:eastAsia="Times New Roman" w:hAnsi="Verdana" w:cs="Times New Roman"/>
          <w:b/>
          <w:bCs/>
          <w:color w:val="AC370B"/>
          <w:kern w:val="0"/>
          <w:sz w:val="23"/>
          <w:szCs w:val="23"/>
          <w:lang w:eastAsia="ru-RU"/>
        </w:rPr>
        <w:t>Содержание к диссертации</w:t>
      </w:r>
    </w:p>
    <w:p w14:paraId="76AFDA42"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Введение</w:t>
      </w:r>
    </w:p>
    <w:p w14:paraId="5355114F"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Глава 1 Историография проблемы 19</w:t>
      </w:r>
    </w:p>
    <w:p w14:paraId="0185DCF1"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64FA3">
        <w:rPr>
          <w:rFonts w:ascii="Verdana" w:eastAsia="Times New Roman" w:hAnsi="Verdana" w:cs="Times New Roman"/>
          <w:b/>
          <w:bCs/>
          <w:color w:val="000000"/>
          <w:kern w:val="0"/>
          <w:sz w:val="18"/>
          <w:szCs w:val="18"/>
          <w:lang w:eastAsia="ru-RU"/>
        </w:rPr>
        <w:t>Глава 2 Особенности реформирования российского государства в переходный период</w:t>
      </w:r>
    </w:p>
    <w:p w14:paraId="0779C9D8"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2.1 Политико-правовая сущность, содержание и специфика развития государства в процессе трансформации 45</w:t>
      </w:r>
    </w:p>
    <w:p w14:paraId="66411119"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2.2 Место и роль региональных и местных органов власти в государственном механизме 69</w:t>
      </w:r>
    </w:p>
    <w:p w14:paraId="6939E92C"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64FA3">
        <w:rPr>
          <w:rFonts w:ascii="Verdana" w:eastAsia="Times New Roman" w:hAnsi="Verdana" w:cs="Times New Roman"/>
          <w:b/>
          <w:bCs/>
          <w:color w:val="000000"/>
          <w:kern w:val="0"/>
          <w:sz w:val="18"/>
          <w:szCs w:val="18"/>
          <w:lang w:eastAsia="ru-RU"/>
        </w:rPr>
        <w:t>Глава 3 Формирование и развитие системы органов власти в среднем Поволжье</w:t>
      </w:r>
    </w:p>
    <w:p w14:paraId="6DB33385"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3.1 Структурное оформление государственного механизма в поволжских регионах в 1991-1993 гг 87</w:t>
      </w:r>
    </w:p>
    <w:p w14:paraId="0ECC5CCC"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3.2 Становление новой системы региональных и местных органов власти в период укрепления государства в 1994-1999 гг 115</w:t>
      </w:r>
    </w:p>
    <w:p w14:paraId="5110ABBD"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3.3 Возможности и перспективы развития институтов государственной власти и местного самоуправления в Среднем Поволжье 144</w:t>
      </w:r>
    </w:p>
    <w:p w14:paraId="07996341"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Заключение 182</w:t>
      </w:r>
    </w:p>
    <w:p w14:paraId="2281762D" w14:textId="77777777" w:rsidR="00864FA3" w:rsidRPr="00864FA3" w:rsidRDefault="00864FA3" w:rsidP="00864FA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64FA3">
        <w:rPr>
          <w:rFonts w:ascii="Verdana" w:eastAsia="Times New Roman" w:hAnsi="Verdana" w:cs="Times New Roman"/>
          <w:color w:val="000000"/>
          <w:kern w:val="0"/>
          <w:sz w:val="18"/>
          <w:szCs w:val="18"/>
          <w:lang w:eastAsia="ru-RU"/>
        </w:rPr>
        <w:t>Список использованных источников 1</w:t>
      </w:r>
    </w:p>
    <w:p w14:paraId="2963421D" w14:textId="77777777" w:rsidR="00864FA3" w:rsidRDefault="00864FA3" w:rsidP="00864FA3">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Политико-правовая сущность, содержание и специфика развития государства в процессе трансформации</w:t>
      </w:r>
    </w:p>
    <w:p w14:paraId="5FEC0F73"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Проблемы развития отечественной государственности на протяжении долгих лет вызывали повышенный интерес у представителей научного сообщества. Позднесоветский период в истории нашей страны характеризовался новым витком исследований; наука, освободившись от архаичного догматизма и идеологической зашоренности, получила возможность представить большое количество библиографических источников, освещающих преобразования в государственно-властной системе, становление и развитие обновленных органов власти. Научный плюрализм позволил исследователям высказывать разнообразные точки зрения на вопросы изменения формы современного Российского государства, варианты реформирования государственного механизма в регионах страны, сущность и содержание переходных процессов, что обусловливало формирование ценного теоретического материала. При этом активное обращение к проблемам развития органов власти в переходный период со стороны исследователей от различных отраслей науки заключалось в том, что тема расположена на стыке исторической, политической, юридической и других наук, что позволяло представителям каждой научной специальности найти в ней свой предмет исследования. Поскольку многие авторские позиции до сих пор требуют научного осмысления и обсуждения и не все еще нашли свое практическое применение, необходимость дальнейшего изучения аспекта </w:t>
      </w:r>
      <w:r>
        <w:rPr>
          <w:rFonts w:ascii="Verdana" w:hAnsi="Verdana"/>
          <w:color w:val="000000"/>
          <w:sz w:val="18"/>
          <w:szCs w:val="18"/>
        </w:rPr>
        <w:lastRenderedPageBreak/>
        <w:t>институционального развития государства очевидна. Продолжающиеся дискуссии о перспективах российской государственности, порой носящие бурный характер, подтверждают, что формирование историографии данной проблемы пока находится на начальной стадии своего развития.</w:t>
      </w:r>
    </w:p>
    <w:p w14:paraId="7E19A277"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 переходных процессов как направление современных политических исследований фактически началось с выхода в 1970 г. статьи Д. Растоу «Переходы к демократии: попытка динамической модели», в которой автор определил переходный период как особый этап политического развития государства и выделил 3 его фазы: подготовительную, принятия решения и привыкания. Было высказано мнение о том, что путем сравнительного анализа нескольких эмпирических примеров можно получить идеальную модель процесса перехода. Вместе с тем Д. Растоу предложил не рассматривать в этих целях страны, получившие предпосылки к трансформации из-за рубежа1, однако для многих государств переходный период развития связан не только с внутренними, но и с внешнеполитическими факторами.</w:t>
      </w:r>
    </w:p>
    <w:p w14:paraId="387A9A74"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В 1973 г. была опубликована монография Г. О Доннелла «Модернизация и бюрократический авторитаризм», в которой автор выразил негативное отношение к господствовавшей в 50-60 гг. ХХ-го вв. теории модернизации, не учитывающей того, что высокий уровень экономического и социального развития не всегда может обусловливать более стабильное демократическое устройство. Введенное им понятие «бюрократического авторитаризма» Г. О Доннелл связывал с радикальной трансформацией механизмов накопления капитала и перераспределением социальных выгод и издержек2, что, как представляется, имело место при осуществлении переходного процесса в России, но не сопровождалось достижением нашей страной высокого уровня экономического развития.</w:t>
      </w:r>
    </w:p>
    <w:p w14:paraId="52842B48"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переходных процессов было продолжено С. Хантингтоном в книге «Третья волна. Демократизация в конце XX века», который утверждал, что демократизация представляет собой международный процесс и имеет характер «неудержимой глобальной приливной волны», затрагивая сразу несколько стран, оказьшающих взаимное воздействие друг на друга, что подтверждается и историческим опытом. Автор выделял 5 исторических вариантов смены политического режима: постоянное колебание между авторитаризмом и демократией, переход к демократии со второй попытки, прерывание демократии, прямой переход от стабильного авторитаризма к стабильной демократии, а также деколонизация3.</w:t>
      </w:r>
    </w:p>
    <w:p w14:paraId="337D4C83"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Немаловажное значение для изучения процессов трансформации государств имели также такие труды как «Крушение демократических режимов» под редакцией X. Линца и А. Степана (1978 г.), «Демократия в развивающихся странах» под 32, 52-54. редакцией Л. Даймонда, X. Линца и СМ. Липсета (1986 г.), «Переходы от авторитарного правления. Предварительные выводы о неопределенных демократиях» Г. Ол Доннелла и Ф. Шмиттера (1986 г.) и др.</w:t>
      </w:r>
    </w:p>
    <w:p w14:paraId="68ED11E2"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Помимо западных исследователей, изучение переходных преобразований вызывало интерес и у представителей науки из ближнего зарубежья. Так, трансформация социальных систем была подробно рассмотрена белорусским социологом А.Н. Даниловым, который предложил собственную трактовку определения хронологических этапов переходного периода, выделяя четыре </w:t>
      </w:r>
      <w:r>
        <w:rPr>
          <w:rFonts w:ascii="Verdana" w:hAnsi="Verdana"/>
          <w:color w:val="000000"/>
          <w:sz w:val="18"/>
          <w:szCs w:val="18"/>
        </w:rPr>
        <w:lastRenderedPageBreak/>
        <w:t>стадии: переоценку существующего состояния общества, социальную диагностику, демонтаж отжившей системы, выдвижение и обоснование дальнейших путей развития1. Украинский политолог В.М. Якушик также пришел к выводу о наличии четырех стадий развития переходного общества, на которых последовательно происходит зарождение элементов новой власти, разрушение старого механизма, организационное оформление новых органов и институционализация государства2, хотя в его работе рассматривалась концепция государства, переходного к социалистическому типу, что отразилось в осмыслении автором проблемы с классово-идеологической позиции.</w:t>
      </w:r>
    </w:p>
    <w:p w14:paraId="69D3F233"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Обращению российских исследователей политических процессов к данной теме и появлению отечественной библиографии способствовало начало коренных преобразований в стране, требующих всестороннего анализа в целях поиска оптимальной модели реформирования общества, что явилось определенным катализатором развития науки за счет формирования свежих научных взглядов и накопления научного материала. При этом если первоначально, оказавшись под влиянием зарубежных транзитологических моделей, ученые рассматривали российский переходный период в качестве одного из звеньев глобальной демократической волны, транзита от авторитаризма к демократии3, то в дальнейшем ход процесса реформирования показал недостатки существующей концепции.</w:t>
      </w:r>
    </w:p>
    <w:p w14:paraId="02FF8C56" w14:textId="77777777" w:rsidR="00864FA3" w:rsidRDefault="00864FA3" w:rsidP="00864FA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и роль региональных и местных органов власти в государственном механизме</w:t>
      </w:r>
    </w:p>
    <w:p w14:paraId="20B771BF"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Применение общесоциального подхода к пониманию сущности современного государства переходного типа позволяет определить ее формальную и содержательную стороны. Формально любое государство, в том числе находящееся в процессе трансформации, является организацией политической власти и основным вопросом является то, в чьих интересах она осуществляется. Анализ происходивших в России и других странах в конце XX в. революций показьшает, что в процессе развития государства переходного типа «складывается новая социальная стратификация общества на базе новых экономических укладов, возникают новые социальные слои... из которых в перспективе могут сложиться самостоятельные социальные группы»2. Существовавшая до начала 1990-х гг. система стратификации, в самом общем виде состоявшая из двух укрупненных классов: партийно-государственной номенклатуры, обладавшей монополией на распределение национальных ресурсов и принятие политических решений, и наемных работников государства, отчужденных от его собственности и властных полномочий, органично вписалась в новые условия развития постсоциалистического общества. Полученная возможность экономической и политической независимости привела к появлению зачатков промежуточного «среднего класса». Однако размытость интересов его представителей, связанная с существенной дифференциацией по уровню их доходов, обусловила неразвитость и недоформированность «среднего класса» в структуре общества, отсутствие его целостности.</w:t>
      </w:r>
    </w:p>
    <w:p w14:paraId="38937033"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Переходные процессы конца XX-го в. в России показали, что характеристикой формировавшегося общественно-политического строя являлось сохранение номенклатурой своих позиций в структуре государства и концентрация экономической и политической власти в руках нескольких финансово-промышленных групп. В связи с этим одни исследователи считают, что </w:t>
      </w:r>
      <w:r>
        <w:rPr>
          <w:rFonts w:ascii="Verdana" w:hAnsi="Verdana"/>
          <w:color w:val="000000"/>
          <w:sz w:val="18"/>
          <w:szCs w:val="18"/>
        </w:rPr>
        <w:lastRenderedPageBreak/>
        <w:t>«политическая власть на современном этапе стала инструментом выражения . интересов крупного капитала и высшей бюрократии»1, другие полагают, что она «служит реализатором воли государственной бюрократии»2. В любом случае, можно констатировать, что фактически при смене общественно-экономической формации господствующий класс, по сути, не изменился и сохранил контроль над средствами производства. Отличие состоит лишь в том, что ранее он ими только управлял, а теперь стал их владельцем. Это, естественно, вызьшало отчуждение населения и непосредственно влияло на уровень легитимности переходной власти. Как показывает исторический опыт, успех в проведении реформ может быть достигнут только при их поддержке со стороны общества. Являясь первоначально высоким на фоне ажиотажа, связанного с революционными событиями, в дальнейшем процесс жесткого перехода к рыночной экономике, сворачивание социальных программ, нестабильность в политической системе государства, ликвидация Советов были одними из причин снижения уровня легитимности власти в 1993 г., а противоречивость реформ, политического и социально-экономического курса - в начале 1996 г. Однако, несмотря на низкий уровень поддержки власти, характерной чертой переходного процесса в России являлось отсутствие в такие периоды массовых выступлений, что связано, в первую очередь, с недостаточностью политической воли у населения, его равнодушием и неуверенностью в возможность достижения такими способами какого-либо положительного результата.</w:t>
      </w:r>
    </w:p>
    <w:p w14:paraId="0B442DC5"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на определенных этапах новейшего исторического периода легитимность власти была непосредственно связана с доверием к политическим лидерам. Подтверждение тезиса Т.А. Алексеевой о том, что «люди теряют веру в лидеров значительно легче, нежели доверие к системе»3, можно было наблюдать в России в середине и конце 1990-х гг. В начале 2000-х гг. ситуация изменилась. Как справедливо полагает О.Ф. Шабров, слабая поддержка переходной власти, индифферентное отношение общества к ее целям ввиду их несоответствия общепринятым представлениям и нормам, скептическая оценка практически всех</w:t>
      </w:r>
    </w:p>
    <w:p w14:paraId="519C9EDB"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Кризис своей легитимности переходная власть всякий раз компенсировала путем легальности формирования органов власти, в связи с чем к важной характеристике развития постсоциалистических государств относится их структурированность, в частности за счет построения многопартийной системы. Однако, как представляется, происходящий в России постоянный поиск моделей развития государства с действующей многопартийной системой нельзя признать успешным. Российский политический путь существенно отличался от присущего государствам переходного типа Восточной Европы, в которых создание коалиций многочисленными партиями в легислатуре не только укрупняло их на основе консенсуса, но и являлось необходимым для формирования правительства. В нашей стране зачатки создания политической культуры согласия не получили своего продолжения, происходило целенаправленное отсечение более мелких партий не только от участия в избирательном процессе, но и от самой возможности функционирования.</w:t>
      </w:r>
    </w:p>
    <w:p w14:paraId="00870B8F"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начала формирования управляемой вертикали власти в 2000-е гг. негативные тенденции в политической системе только усиливались, получая поддержку партий, имеющих своих представителей в парламенте страны и желающих сохранить ранее достигнутые позиции. Увеличение до 7 процентов порога прохождения политических партий в законодательные органы </w:t>
      </w:r>
      <w:r>
        <w:rPr>
          <w:rFonts w:ascii="Verdana" w:hAnsi="Verdana"/>
          <w:color w:val="000000"/>
          <w:sz w:val="18"/>
          <w:szCs w:val="18"/>
        </w:rPr>
        <w:lastRenderedPageBreak/>
        <w:t>власти, ужесточение правил их регистрации явно не способствовали становлению многопартийности. Происходивший в дальнейшем процесс снижения заградительного барьера представлял собой всего лишь возврат к прежним условиям без новых качественных преобразований политической системы. Либерализация партийного строительства в виде уменьшения количества членов партии, необходимых для ее регистрации с 40 тысяч до 500 человек, ситуацию не изменила и больше являлась поверхностным лакированием политических дефектов, поскольку создание и участие в депутатской</w:t>
      </w:r>
    </w:p>
    <w:p w14:paraId="57D311D0"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Президента РФ В.В. Путина, «развитие общества немыслимо без согласия по общим целям»1. Его формирование, наряду с получением легитимности от населения, стало одним из важнейших условий успешного осуществления переходных преобразований. Отсутствие согласия в обществе, как правило, ведет к установлению диктатуры. К примеру, после февральской революции 1917 г. большое количество общественных и политических организаций пытались достичь согласия относительно дальнейшего развития страны. Так, сформированное в результате соглашения Временное правительство не смогло стабильно и эффективно осуществлять свою деятельность. Процесс получения общественного согласия не принес положительных результатов, что привело к установлению в России сначала двоевластия, затем после его ликвидации посредством вооруженного переворота -большевистской диктатуры, а в последующем к формированию авторитарного режима.</w:t>
      </w:r>
    </w:p>
    <w:p w14:paraId="575F407D" w14:textId="77777777" w:rsidR="00864FA3" w:rsidRDefault="00864FA3" w:rsidP="00864FA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Становление новой системы региональных и местных органов власти в период укрепления государства в 1994-1999 гг</w:t>
      </w:r>
    </w:p>
    <w:p w14:paraId="7C39DE3D"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ходе развития системы взаимного контроля парламенты остались с преимуществом по количеству способов реализации контрольной функции, но и сами стали подвергаться контролю, например, со стороны органов исполнительной власти в части правильности исполнения бюджетного законодательства либо судебных органов при рассмотрении дел о соответствии принятых законов конституции (уставу) субъекта РФ. Парламентский контроль в различных регионах сохранил такие меры как депутатские запросы и обращения, заслушивание ежегодных отчетов главы региона о результатах деятельности, постановка вопроса о доверии, приглашение руководителей исполнительных органов на заседания для получения необходимой информации и т.д. Однако увеличение количества способов контроля не привело к улучшению качества этой деятельности, ее формальность стала характерным недостатком системы взаимодействия региональных органов власти в условиях существующей формы правления. Другим пробелом, уменьшающим контрольный потенциал парламентов, выступило отсутствие во многих регионах законодательно установленных мер ответственности за действия, препятствующие осуществлению контроля. Ранее ст. 64 закона РФ «О краевом, областном Совете народных депутатов и краевой, областной администрации» предусматривала административную ответственность должностных лиц и граждан за непредоставление запрашиваемой Советом информации в виде штрафа в размере от двукратной до двадцатикратной величины минимальной заработной платы. В настоящее время отсутствие централизованного регулирования данной проблемы привело к тому, что, например, в Ульяновской области нарушение сроков предоставления ответов на депутатские запросы и обращения не влечет </w:t>
      </w:r>
      <w:r>
        <w:rPr>
          <w:rFonts w:ascii="Verdana" w:hAnsi="Verdana"/>
          <w:color w:val="000000"/>
          <w:sz w:val="18"/>
          <w:szCs w:val="18"/>
        </w:rPr>
        <w:lastRenderedPageBreak/>
        <w:t>никаких мер ответственности, а в Самарской области их введение наткнулось на ожесточенное сопротивление представителей правительства, продолжавшееся несколько лет.</w:t>
      </w:r>
    </w:p>
    <w:p w14:paraId="530FBA67"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в переходный период сложилось такое положение, что структура государственной власти на региональном уровне сформировалась несбалансированно, со слабо отлаженной системой сдержек и противовесов, а также с явным смещением равновесия в сторону исполнительной власти и высших должностных лиц субъектов РФ, что требует перераспределения полномочий между органами власти и установления четких правовых гарантий реализации парламентами контрольных функций.</w:t>
      </w:r>
    </w:p>
    <w:p w14:paraId="1D6EDF28"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В составе государственно-властных отношений в ходе современной трансформации страны важную роль стали играть различные негосударственные институты, которые оказывают значительное влияние на процесс осуществления функций и задач государства, в первую очередь органы местного самоуправления. Несмотря на то, что ст. 12 Конституции РФ отделила органы местного самоуправления от системы органов государственной власти, на практике их разделение приобрело формальный характер, что может объясняться как финансово-экономической слабостью муниципального уровня, так и стереотипами советской системы управления. В связи с этим В.В. Пылил справедливо полагает, что установленное конституционное положение «не означает, что местное самоуправление автономно от государства и противостоит ему»1. В частности, участие местных органов в государственно-властных отношениях обусловлено тем, что процедура формирования и их полномочия «определены актами органов государственной власти, ... они действуют в русле общегосударственной политики -экономической, социальной, экологической, в области культуры и др., могут наделяться отдельными государственными полномочиями, участвовать в реализации государственных программ»2. Это свидетельствует о том, что возникшая в переходный период система органов местного самоуправления, призванная при осуществлении децентрализации стать одним их основополагающих элементов демократического развития страны, сохранила свое положение в структуре государственного механизма в качестве его составной части. Еще с момента принятия закона о местном самоуправлении 1991 г. проявились тенденции тесной связи органов местного самоуправления с государством: с 1991 по 1993 гг. в их число входили местные Советы - представительные органы власти, в исключительных случаях вопросы местного значения могли разрешать органы государственной власти, которые также имели возможность передачи местным органам своих отдельных полномочий. В дальнейшем роль органов местного самоуправления в механизме государства только усилилась. Опыт показал, что в комплексе общегосударственных задач особое значение приобретает учет и обеспечение потребностей жителей муниципальных образований в сочетании с социально-экономической политикой государства. Органы местного самоуправления оказались наиболее эффективными при выполнении такой задачи, поскольку в сферу их компетенции вошло решение вопросов местного значения, а также возможность инициации предложений и активного участия в процессе подготовки региональными органами нормативно-правовых актов, направленных на удовлетворение нужд местного населения.</w:t>
      </w:r>
    </w:p>
    <w:p w14:paraId="4173BDEC"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то, что органы местного самоуправления стали частью механизма государства, обеспечивающей единство и целостность системы управления, для них никогда не существовало </w:t>
      </w:r>
      <w:r>
        <w:rPr>
          <w:rFonts w:ascii="Verdana" w:hAnsi="Verdana"/>
          <w:color w:val="000000"/>
          <w:sz w:val="18"/>
          <w:szCs w:val="18"/>
        </w:rPr>
        <w:lastRenderedPageBreak/>
        <w:t>нормативных требований о разделении власти на отдельные ветви, поскольку практика показала возможность совмещения отдельных полномочий1. В связи с тем, что развитие муниципальных органов на начальных этапах переходного периода происходило в условиях высокой степени самостоятельности регионов в выборе моделей их организации, зачастую это приводило к формированию конструкций, предусматривавших единоличное правление, что также препятствовало возможности разделения властей.</w:t>
      </w:r>
    </w:p>
    <w:p w14:paraId="1049F003"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положение характерно не только для России. Е. Мирошниченко отмечает, что «разделение властей на местном уровне не является традиционным и классическим для стран мира. Мировой опыт свидетельствует, что чаще обеспечивается не равновесие властей в системе местного самоуправления, а приоритет одной из властей при ограничениях, сдержках со стороны другой власти». В переходный период теория и практика российского местного самоуправления пошла примерно по этому же пути.</w:t>
      </w:r>
    </w:p>
    <w:p w14:paraId="7F895E6E"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научной литературе высказываются предположения о целесообразности применения принципа разделения властей в деятельности органов местного самоуправления, поскольку, по мнению Д.Г. Правдина, «муниципальная власть, обладая значительной спецификой по сравнению с властью государственной, тем не менее имеет одинаковую с ней природу как власть публичная. Соответственно, и принципы политической организации данного вида публичной власти должны исходить из сходных предпосылок, в том числе недопустимости сосредоточения всех властных полномочий в руках одного органа или лица»2. ИИ. Овчинников считает, что «для обеспечения эффективного функционирования местного самоуправления жизненно необходимы оптимальное разграничение полномочий органов власти управления, взаимный контроль, система сдержек и противовесов»3.</w:t>
      </w:r>
    </w:p>
    <w:p w14:paraId="53F89CC4"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Н.И. Глазунова полагает, что «принцип разделения власти неприменим на уровне муниципального управления», поскольку «структура исполнительных органов... не является унифицированной для всех муниципальных образований»4. Однако Б.Н. Топорнин, в целом придерживаясь такой же позиции, считает допустимым использование общих подходов, связанных с предотвращением возможного монополизма5.</w:t>
      </w:r>
    </w:p>
    <w:p w14:paraId="03A30052" w14:textId="77777777" w:rsidR="00864FA3" w:rsidRDefault="00864FA3" w:rsidP="00864FA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Возможности и перспективы развития институтов государственной власти и местного самоуправления в Среднем Поволжье</w:t>
      </w:r>
    </w:p>
    <w:p w14:paraId="1F4FF998"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Конфликт между региональными органами и преодоление депутатами права вето губернатора привели к тому, что принятый ими Устав осуществил смещение властного доминирования со стороны администрации к парламенту, закрепив: отнесение к полномочиям Думы принятие мер по сбалансированности местных бюджетов путем передачи отчислений от находящихся в ее распоряжении доходных источников, а также выделения дотаций и субвенций (ст. 51 Устава);</w:t>
      </w:r>
    </w:p>
    <w:p w14:paraId="5A2711B6"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Особое усердие депутаты областной Думы проявили в отношении федеральных отраслевых органов управления, закрепив в ст. 105 Устава свое право на приостановление действия их актов, противоречащих законодательству или интересам населения области, высказанным на </w:t>
      </w:r>
      <w:r>
        <w:rPr>
          <w:rFonts w:ascii="Verdana" w:hAnsi="Verdana"/>
          <w:color w:val="000000"/>
          <w:sz w:val="18"/>
          <w:szCs w:val="18"/>
        </w:rPr>
        <w:lastRenderedPageBreak/>
        <w:t>референдуме, чем посягнули на общепризнанную иерархию нормативно-правовых актов, установив правомочие, ранее предусмотренное для облсоветов ст. 63 закона РФ «О краевом, областном Совете народных депутатов и краевой, областной администрации» и в условиях структурной реорганизации власти отмененное главой государства еще в декабре 1993 г.</w:t>
      </w:r>
    </w:p>
    <w:p w14:paraId="27DF56A0"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Вынужденный принять постановление от 14 апреля 1995 г. № 101 «Об обнародовании Устава Саратовской области», губернатор одновременно предписал подчиненным ему главам местных администраций не руководствоваться Уставом до рассмотрения его Конституционным Судом РФ. Аналогичная ситуация происходила и с другими нормативными актами. В частности, в принятых 28 апреля 1995 г. законах о местном самоуправлении депутаты закрепили свое полномочие на введение режима временного государственного управления, применение на выборах в местные представительные органы смешанной системы и лишили исполнительную власть возможности участия в формировании избирательных комиссий1. Однако депутаты законы приняли, а «под влиянием главы администрации Ю.В. Белых, местные главы блокировали этот процесс»2.</w:t>
      </w:r>
    </w:p>
    <w:p w14:paraId="3E0AF3FE"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Юридический анализ этого противостояния показывает, что правовая культура избирательных объединений в начале второго этапа переходного периода была еще слишком слабой, чтобы полноценно участвовать в формировании властной конфигурации. Поскольку политико-правовые механизмы взаимодействия в новых условиях пока не были созданы и отработаны, парламент области ориентировался на прежний советский опыт и пытался перетянуть на себя основные полномочия, даже если при этом происходило вторжение в чужую компетенцию.</w:t>
      </w:r>
    </w:p>
    <w:p w14:paraId="453F3622"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Перманентный конфликт между органами власти удалось погасить только после назначения в апреле 1996 г. главой администрации области первого заместителя мэра г. Саратова Д.Ф. Аяцкова. Понимая важность взаимодействия с парламентом, он с самого начала работы постарался не только наладить конструктивный диалог с представленными в нем общественными и политическими организациями, но и предложил некоторым депутатам высокие должности в областной администрации, чем установил контроль над представительным органом. Перемены не повлекли серьезных изменений в государственном механизме, но началось устранение недостатков Основного закона: было введено право вето губернатора и возможность принятия легислатурой отклоненного им закона, а также пересмотрены положения о нормативно-правовых актах области1. Кроме того, по инициативе руководства региона была принята новая редакция закона о выборах депутатов Думы, отменявшая смешанную систему выборов: в связи с излишней политизацией работы областного парламента вводилась мажоритарная система2, как и в остальных регионах Среднего Поволжья, что позволило главе администрации еще на один созыв получить подконтрольный парламент3.</w:t>
      </w:r>
    </w:p>
    <w:p w14:paraId="250C8E8B"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Ульяновской области работа над Уставом региона началась еще в октябре 1992 г.4, но с ликвидацией советской представительной системы была приостановлена, и возобновилась только с формированием Законодательного Собрания первого созыва 17 декабря 1995 г. Принятый 5 сентября 1996 г. Устав области во властный механизм включил только Законодательное Собрание и главу администрации, которая, как и ее подразделения, не признавалась органом государственной власти. В отличие от остальных областей Среднего Поволжья положение законодательного органа </w:t>
      </w:r>
      <w:r>
        <w:rPr>
          <w:rFonts w:ascii="Verdana" w:hAnsi="Verdana"/>
          <w:color w:val="000000"/>
          <w:sz w:val="18"/>
          <w:szCs w:val="18"/>
        </w:rPr>
        <w:lastRenderedPageBreak/>
        <w:t>во властном механизме было более слабым, поскольку депутаты не имели возможности согласования кадровых вопросов в структуре администрации. Из полномочий в рамках механизма сдержек и противовесов, кроме повторного рассмотрения отклоненного закона, к ведению парламента было отнесено только назначение половины членов избирательной комиссии Ульяновской области (п. 1.10. ст. 53 Устава), заслушивание информации главы администрации области об исполнении законов области, реализации целевых программ и планов социально - экономического развития (п. 1.18. ст. 53), а также обращение к главе администрации области о приостановлении действия принятых им нормативных правовых актов, противоречащих федеральному законодательству, Уставу или законам Ульяновской области (п. 1.27. ст. 53)1.</w:t>
      </w:r>
    </w:p>
    <w:p w14:paraId="6DC53C51" w14:textId="77777777" w:rsidR="00864FA3" w:rsidRDefault="00864FA3" w:rsidP="00864FA3">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такое положение Законодательного Собрания первого созыва в государственном механизме не помешало депутатам на протяжении всех четырех лет его работы проводить постоянные сражения с исполнительной властью за распределение бюджетных средств, что усилило практическое значение парламента. Поэтому на следующих выборах депутатов 19 декабря 1999 г. конкуренция привела к тому, что кандидат, имевший серьезные намерения, должен был представлять определенную группу региональных интересов, а не только иметь формальную партийную принадлежность. В итоге в парламент вошли 12 человек, поддерживаемые губернатором области, и возглавили четыре комитета из пяти, чем опять позволили главе исполнительного органа власти осуществлять контроль над легислатурой</w:t>
      </w:r>
    </w:p>
    <w:p w14:paraId="32C8BB35" w14:textId="77777777" w:rsidR="00864FA3" w:rsidRPr="00864FA3" w:rsidRDefault="00864FA3" w:rsidP="00864FA3"/>
    <w:sectPr w:rsidR="00864FA3" w:rsidRPr="00864FA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3C4C" w14:textId="77777777" w:rsidR="003E150E" w:rsidRDefault="003E150E">
      <w:pPr>
        <w:spacing w:after="0" w:line="240" w:lineRule="auto"/>
      </w:pPr>
      <w:r>
        <w:separator/>
      </w:r>
    </w:p>
  </w:endnote>
  <w:endnote w:type="continuationSeparator" w:id="0">
    <w:p w14:paraId="285BEFE1" w14:textId="77777777" w:rsidR="003E150E" w:rsidRDefault="003E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A024C" w14:textId="77777777" w:rsidR="003E150E" w:rsidRDefault="003E150E">
      <w:pPr>
        <w:spacing w:after="0" w:line="240" w:lineRule="auto"/>
      </w:pPr>
      <w:r>
        <w:separator/>
      </w:r>
    </w:p>
  </w:footnote>
  <w:footnote w:type="continuationSeparator" w:id="0">
    <w:p w14:paraId="6560A640" w14:textId="77777777" w:rsidR="003E150E" w:rsidRDefault="003E1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5D138A"/>
    <w:multiLevelType w:val="multilevel"/>
    <w:tmpl w:val="82567F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6EB26A3"/>
    <w:multiLevelType w:val="multilevel"/>
    <w:tmpl w:val="FB26A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A05768"/>
    <w:multiLevelType w:val="multilevel"/>
    <w:tmpl w:val="E7CAE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3D476F"/>
    <w:multiLevelType w:val="multilevel"/>
    <w:tmpl w:val="5EDC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9173BA"/>
    <w:multiLevelType w:val="multilevel"/>
    <w:tmpl w:val="0EBC8B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E14678"/>
    <w:multiLevelType w:val="multilevel"/>
    <w:tmpl w:val="7B6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295B10"/>
    <w:multiLevelType w:val="multilevel"/>
    <w:tmpl w:val="6122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50664B3"/>
    <w:multiLevelType w:val="multilevel"/>
    <w:tmpl w:val="F87A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6331A07"/>
    <w:multiLevelType w:val="multilevel"/>
    <w:tmpl w:val="46F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8F60E35"/>
    <w:multiLevelType w:val="multilevel"/>
    <w:tmpl w:val="66A8B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F95F7C"/>
    <w:multiLevelType w:val="multilevel"/>
    <w:tmpl w:val="CE646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383222"/>
    <w:multiLevelType w:val="multilevel"/>
    <w:tmpl w:val="E62A5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C84554"/>
    <w:multiLevelType w:val="multilevel"/>
    <w:tmpl w:val="B4C44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41"/>
  </w:num>
  <w:num w:numId="8">
    <w:abstractNumId w:val="44"/>
  </w:num>
  <w:num w:numId="9">
    <w:abstractNumId w:val="30"/>
  </w:num>
  <w:num w:numId="10">
    <w:abstractNumId w:val="53"/>
  </w:num>
  <w:num w:numId="11">
    <w:abstractNumId w:val="48"/>
  </w:num>
  <w:num w:numId="12">
    <w:abstractNumId w:val="37"/>
  </w:num>
  <w:num w:numId="13">
    <w:abstractNumId w:val="36"/>
  </w:num>
  <w:num w:numId="14">
    <w:abstractNumId w:val="38"/>
  </w:num>
  <w:num w:numId="15">
    <w:abstractNumId w:val="52"/>
  </w:num>
  <w:num w:numId="16">
    <w:abstractNumId w:val="34"/>
  </w:num>
  <w:num w:numId="17">
    <w:abstractNumId w:val="46"/>
  </w:num>
  <w:num w:numId="18">
    <w:abstractNumId w:val="49"/>
  </w:num>
  <w:num w:numId="19">
    <w:abstractNumId w:val="28"/>
  </w:num>
  <w:num w:numId="20">
    <w:abstractNumId w:val="35"/>
  </w:num>
  <w:num w:numId="21">
    <w:abstractNumId w:val="51"/>
  </w:num>
  <w:num w:numId="22">
    <w:abstractNumId w:val="31"/>
  </w:num>
  <w:num w:numId="23">
    <w:abstractNumId w:val="32"/>
  </w:num>
  <w:num w:numId="24">
    <w:abstractNumId w:val="50"/>
  </w:num>
  <w:num w:numId="25">
    <w:abstractNumId w:val="33"/>
  </w:num>
  <w:num w:numId="26">
    <w:abstractNumId w:val="26"/>
  </w:num>
  <w:num w:numId="27">
    <w:abstractNumId w:val="43"/>
  </w:num>
  <w:num w:numId="28">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50E"/>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32290</TotalTime>
  <Pages>9</Pages>
  <Words>4010</Words>
  <Characters>22858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6213</cp:revision>
  <cp:lastPrinted>2009-02-06T05:36:00Z</cp:lastPrinted>
  <dcterms:created xsi:type="dcterms:W3CDTF">2016-09-19T15:12:00Z</dcterms:created>
  <dcterms:modified xsi:type="dcterms:W3CDTF">2017-02-21T20:49:00Z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