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6321" w14:textId="77777777" w:rsidR="00A945B5" w:rsidRDefault="00A945B5" w:rsidP="00A945B5">
      <w:pPr>
        <w:pStyle w:val="afffffffffffffffffffffffffff5"/>
        <w:rPr>
          <w:rFonts w:ascii="Verdana" w:hAnsi="Verdana"/>
          <w:color w:val="000000"/>
          <w:sz w:val="21"/>
          <w:szCs w:val="21"/>
        </w:rPr>
      </w:pPr>
      <w:r>
        <w:rPr>
          <w:rFonts w:ascii="Helvetica" w:hAnsi="Helvetica" w:cs="Helvetica"/>
          <w:b/>
          <w:bCs w:val="0"/>
          <w:color w:val="222222"/>
          <w:sz w:val="21"/>
          <w:szCs w:val="21"/>
        </w:rPr>
        <w:t>Новиков, Алексей Викторович.</w:t>
      </w:r>
    </w:p>
    <w:p w14:paraId="4922CD2B" w14:textId="77777777" w:rsidR="00A945B5" w:rsidRDefault="00A945B5" w:rsidP="00A945B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Теоретическое ограничение на возможные расширения стандартной модели из экспериментальных данных, полученных на ускорителе </w:t>
      </w:r>
      <w:proofErr w:type="gramStart"/>
      <w:r>
        <w:rPr>
          <w:rFonts w:ascii="Helvetica" w:hAnsi="Helvetica" w:cs="Helvetica"/>
          <w:caps/>
          <w:color w:val="222222"/>
          <w:sz w:val="21"/>
          <w:szCs w:val="21"/>
        </w:rPr>
        <w:t>LEP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- 65 с.</w:t>
      </w:r>
    </w:p>
    <w:p w14:paraId="5725BED7" w14:textId="77777777" w:rsidR="00A945B5" w:rsidRDefault="00A945B5" w:rsidP="00A945B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Новиков, Алексей Викторович</w:t>
      </w:r>
    </w:p>
    <w:p w14:paraId="5E171E3D"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7EFE5B9"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094CC2B3"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Простая аналитическая формула для адронного вклада</w:t>
      </w:r>
    </w:p>
    <w:p w14:paraId="60D6145B"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поляризационный оператор фотона</w:t>
      </w:r>
    </w:p>
    <w:p w14:paraId="0FD7E444"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Бег </w:t>
      </w:r>
      <w:proofErr w:type="gramStart"/>
      <w:r>
        <w:rPr>
          <w:rFonts w:ascii="Arial" w:hAnsi="Arial" w:cs="Arial"/>
          <w:color w:val="333333"/>
          <w:sz w:val="21"/>
          <w:szCs w:val="21"/>
        </w:rPr>
        <w:t>а(</w:t>
      </w:r>
      <w:proofErr w:type="gramEnd"/>
      <w:r>
        <w:rPr>
          <w:rFonts w:ascii="Arial" w:hAnsi="Arial" w:cs="Arial"/>
          <w:color w:val="333333"/>
          <w:sz w:val="21"/>
          <w:szCs w:val="21"/>
        </w:rPr>
        <w:t xml:space="preserve">(12), </w:t>
      </w:r>
      <w:proofErr w:type="spellStart"/>
      <w:r>
        <w:rPr>
          <w:rFonts w:ascii="Arial" w:hAnsi="Arial" w:cs="Arial"/>
          <w:color w:val="333333"/>
          <w:sz w:val="21"/>
          <w:szCs w:val="21"/>
        </w:rPr>
        <w:t>аИ</w:t>
      </w:r>
      <w:proofErr w:type="spellEnd"/>
      <w:r>
        <w:rPr>
          <w:rFonts w:ascii="Arial" w:hAnsi="Arial" w:cs="Arial"/>
          <w:color w:val="333333"/>
          <w:sz w:val="21"/>
          <w:szCs w:val="21"/>
        </w:rPr>
        <w:t>/(д2) и а2{ч2)</w:t>
      </w:r>
    </w:p>
    <w:p w14:paraId="685CCC2F"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Вычисление значения бегущей константы связи для С,)2 =</w:t>
      </w:r>
    </w:p>
    <w:p w14:paraId="4B120BDA"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w:t>
      </w:r>
    </w:p>
    <w:p w14:paraId="0E5D8FCD"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Вычисление </w:t>
      </w:r>
      <w:proofErr w:type="gramStart"/>
      <w:r>
        <w:rPr>
          <w:rFonts w:ascii="Arial" w:hAnsi="Arial" w:cs="Arial"/>
          <w:color w:val="333333"/>
          <w:sz w:val="21"/>
          <w:szCs w:val="21"/>
        </w:rPr>
        <w:t>значения</w:t>
      </w:r>
      <w:proofErr w:type="gramEnd"/>
      <w:r>
        <w:rPr>
          <w:rFonts w:ascii="Arial" w:hAnsi="Arial" w:cs="Arial"/>
          <w:color w:val="333333"/>
          <w:sz w:val="21"/>
          <w:szCs w:val="21"/>
        </w:rPr>
        <w:t xml:space="preserve"> а с использованием экспериментальных данных</w:t>
      </w:r>
    </w:p>
    <w:p w14:paraId="36626AA3"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Модель, описывающая </w:t>
      </w:r>
      <w:proofErr w:type="spellStart"/>
      <w:r>
        <w:rPr>
          <w:rFonts w:ascii="Arial" w:hAnsi="Arial" w:cs="Arial"/>
          <w:color w:val="333333"/>
          <w:sz w:val="21"/>
          <w:szCs w:val="21"/>
        </w:rPr>
        <w:t>сге+е</w:t>
      </w:r>
      <w:proofErr w:type="spellEnd"/>
      <w:r>
        <w:rPr>
          <w:rFonts w:ascii="Arial" w:hAnsi="Arial" w:cs="Arial"/>
          <w:color w:val="333333"/>
          <w:sz w:val="21"/>
          <w:szCs w:val="21"/>
        </w:rPr>
        <w:t>-^адроны</w:t>
      </w:r>
    </w:p>
    <w:p w14:paraId="78A1CDC5"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Вычисление (д — </w:t>
      </w:r>
      <w:proofErr w:type="gramStart"/>
      <w:r>
        <w:rPr>
          <w:rFonts w:ascii="Arial" w:hAnsi="Arial" w:cs="Arial"/>
          <w:color w:val="333333"/>
          <w:sz w:val="21"/>
          <w:szCs w:val="21"/>
        </w:rPr>
        <w:t>2)^</w:t>
      </w:r>
      <w:proofErr w:type="gramEnd"/>
    </w:p>
    <w:p w14:paraId="7260079C"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Сравнение с последующими работами</w:t>
      </w:r>
    </w:p>
    <w:p w14:paraId="6910CE0D"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2.7 Способы увеличения точности в величинах а ж </w:t>
      </w:r>
      <w:proofErr w:type="spellStart"/>
      <w:r>
        <w:rPr>
          <w:rFonts w:ascii="Arial" w:hAnsi="Arial" w:cs="Arial"/>
          <w:color w:val="333333"/>
          <w:sz w:val="21"/>
          <w:szCs w:val="21"/>
        </w:rPr>
        <w:t>ац</w:t>
      </w:r>
      <w:proofErr w:type="spellEnd"/>
    </w:p>
    <w:p w14:paraId="44BDB598"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Ограничения на массы новых поколений лептонов и кварков из формы </w:t>
      </w:r>
      <w:proofErr w:type="spellStart"/>
      <w:r>
        <w:rPr>
          <w:rFonts w:ascii="Arial" w:hAnsi="Arial" w:cs="Arial"/>
          <w:color w:val="333333"/>
          <w:sz w:val="21"/>
          <w:szCs w:val="21"/>
        </w:rPr>
        <w:t>Хиггсовского</w:t>
      </w:r>
      <w:proofErr w:type="spellEnd"/>
      <w:r>
        <w:rPr>
          <w:rFonts w:ascii="Arial" w:hAnsi="Arial" w:cs="Arial"/>
          <w:color w:val="333333"/>
          <w:sz w:val="21"/>
          <w:szCs w:val="21"/>
        </w:rPr>
        <w:t xml:space="preserve"> потенциала</w:t>
      </w:r>
    </w:p>
    <w:p w14:paraId="3CEC5F23"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Экспериментальные ограничения на новые поколения</w:t>
      </w:r>
    </w:p>
    <w:p w14:paraId="530A902A"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Ограничения на массу </w:t>
      </w:r>
      <w:proofErr w:type="spellStart"/>
      <w:r>
        <w:rPr>
          <w:rFonts w:ascii="Arial" w:hAnsi="Arial" w:cs="Arial"/>
          <w:color w:val="333333"/>
          <w:sz w:val="21"/>
          <w:szCs w:val="21"/>
        </w:rPr>
        <w:t>Хиггсовского</w:t>
      </w:r>
      <w:proofErr w:type="spellEnd"/>
      <w:r>
        <w:rPr>
          <w:rFonts w:ascii="Arial" w:hAnsi="Arial" w:cs="Arial"/>
          <w:color w:val="333333"/>
          <w:sz w:val="21"/>
          <w:szCs w:val="21"/>
        </w:rPr>
        <w:t xml:space="preserve"> бозона из формы потенциала</w:t>
      </w:r>
    </w:p>
    <w:p w14:paraId="57497BEA"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Ограничения на существование метастабильного вакуума</w:t>
      </w:r>
    </w:p>
    <w:p w14:paraId="3923A5FC"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Квантовое туннелирование</w:t>
      </w:r>
    </w:p>
    <w:p w14:paraId="27A3968E"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3.3.2 </w:t>
      </w:r>
      <w:proofErr w:type="gramStart"/>
      <w:r>
        <w:rPr>
          <w:rFonts w:ascii="Arial" w:hAnsi="Arial" w:cs="Arial"/>
          <w:color w:val="333333"/>
          <w:sz w:val="21"/>
          <w:szCs w:val="21"/>
        </w:rPr>
        <w:t>Распад вакуума</w:t>
      </w:r>
      <w:proofErr w:type="gramEnd"/>
      <w:r>
        <w:rPr>
          <w:rFonts w:ascii="Arial" w:hAnsi="Arial" w:cs="Arial"/>
          <w:color w:val="333333"/>
          <w:sz w:val="21"/>
          <w:szCs w:val="21"/>
        </w:rPr>
        <w:t xml:space="preserve"> вызванный тепловым возбуждением</w:t>
      </w:r>
    </w:p>
    <w:p w14:paraId="49D38F8A"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Ограничения на массы новых поколений кварков и лептонов из формы потенциала </w:t>
      </w:r>
      <w:proofErr w:type="spellStart"/>
      <w:r>
        <w:rPr>
          <w:rFonts w:ascii="Arial" w:hAnsi="Arial" w:cs="Arial"/>
          <w:color w:val="333333"/>
          <w:sz w:val="21"/>
          <w:szCs w:val="21"/>
        </w:rPr>
        <w:t>Хиггса</w:t>
      </w:r>
      <w:proofErr w:type="spellEnd"/>
      <w:r>
        <w:rPr>
          <w:rFonts w:ascii="Arial" w:hAnsi="Arial" w:cs="Arial"/>
          <w:color w:val="333333"/>
          <w:sz w:val="21"/>
          <w:szCs w:val="21"/>
        </w:rPr>
        <w:t xml:space="preserve"> в Стандартной Модели</w:t>
      </w:r>
    </w:p>
    <w:p w14:paraId="543685B0"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Ограничения на массы новых поколений лептонов и кварков в Минимальной </w:t>
      </w:r>
      <w:proofErr w:type="spellStart"/>
      <w:r>
        <w:rPr>
          <w:rFonts w:ascii="Arial" w:hAnsi="Arial" w:cs="Arial"/>
          <w:color w:val="333333"/>
          <w:sz w:val="21"/>
          <w:szCs w:val="21"/>
        </w:rPr>
        <w:t>Суперсимметричной</w:t>
      </w:r>
      <w:proofErr w:type="spellEnd"/>
      <w:r>
        <w:rPr>
          <w:rFonts w:ascii="Arial" w:hAnsi="Arial" w:cs="Arial"/>
          <w:color w:val="333333"/>
          <w:sz w:val="21"/>
          <w:szCs w:val="21"/>
        </w:rPr>
        <w:t xml:space="preserve"> Модели</w:t>
      </w:r>
    </w:p>
    <w:p w14:paraId="4AB381A3"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Усиленные </w:t>
      </w:r>
      <w:proofErr w:type="spellStart"/>
      <w:r>
        <w:rPr>
          <w:rFonts w:ascii="Arial" w:hAnsi="Arial" w:cs="Arial"/>
          <w:color w:val="333333"/>
          <w:sz w:val="21"/>
          <w:szCs w:val="21"/>
        </w:rPr>
        <w:t>электрослабые</w:t>
      </w:r>
      <w:proofErr w:type="spellEnd"/>
      <w:r>
        <w:rPr>
          <w:rFonts w:ascii="Arial" w:hAnsi="Arial" w:cs="Arial"/>
          <w:color w:val="333333"/>
          <w:sz w:val="21"/>
          <w:szCs w:val="21"/>
        </w:rPr>
        <w:t xml:space="preserve"> радиационные поправки в </w:t>
      </w:r>
      <w:proofErr w:type="spellStart"/>
      <w:r>
        <w:rPr>
          <w:rFonts w:ascii="Arial" w:hAnsi="Arial" w:cs="Arial"/>
          <w:color w:val="333333"/>
          <w:sz w:val="21"/>
          <w:szCs w:val="21"/>
        </w:rPr>
        <w:t>суперсимметричных</w:t>
      </w:r>
      <w:proofErr w:type="spellEnd"/>
      <w:r>
        <w:rPr>
          <w:rFonts w:ascii="Arial" w:hAnsi="Arial" w:cs="Arial"/>
          <w:color w:val="333333"/>
          <w:sz w:val="21"/>
          <w:szCs w:val="21"/>
        </w:rPr>
        <w:t xml:space="preserve"> теориях: </w:t>
      </w:r>
      <w:proofErr w:type="spellStart"/>
      <w:r>
        <w:rPr>
          <w:rFonts w:ascii="Arial" w:hAnsi="Arial" w:cs="Arial"/>
          <w:color w:val="333333"/>
          <w:sz w:val="21"/>
          <w:szCs w:val="21"/>
        </w:rPr>
        <w:t>безадронные</w:t>
      </w:r>
      <w:proofErr w:type="spellEnd"/>
      <w:r>
        <w:rPr>
          <w:rFonts w:ascii="Arial" w:hAnsi="Arial" w:cs="Arial"/>
          <w:color w:val="333333"/>
          <w:sz w:val="21"/>
          <w:szCs w:val="21"/>
        </w:rPr>
        <w:t xml:space="preserve"> наблюдаемые</w:t>
      </w:r>
    </w:p>
    <w:p w14:paraId="638115BE"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w:t>
      </w:r>
      <w:proofErr w:type="spellStart"/>
      <w:r>
        <w:rPr>
          <w:rFonts w:ascii="Arial" w:hAnsi="Arial" w:cs="Arial"/>
          <w:color w:val="333333"/>
          <w:sz w:val="21"/>
          <w:szCs w:val="21"/>
        </w:rPr>
        <w:t>Однопетлевые</w:t>
      </w:r>
      <w:proofErr w:type="spellEnd"/>
      <w:r>
        <w:rPr>
          <w:rFonts w:ascii="Arial" w:hAnsi="Arial" w:cs="Arial"/>
          <w:color w:val="333333"/>
          <w:sz w:val="21"/>
          <w:szCs w:val="21"/>
        </w:rPr>
        <w:t xml:space="preserve"> поправки в СУСИ моделях</w:t>
      </w:r>
    </w:p>
    <w:p w14:paraId="6A2BF775"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Усиленные радиационные поправки к </w:t>
      </w:r>
      <w:proofErr w:type="spellStart"/>
      <w:r>
        <w:rPr>
          <w:rFonts w:ascii="Arial" w:hAnsi="Arial" w:cs="Arial"/>
          <w:color w:val="333333"/>
          <w:sz w:val="21"/>
          <w:szCs w:val="21"/>
        </w:rPr>
        <w:t>безадронным</w:t>
      </w:r>
      <w:proofErr w:type="spellEnd"/>
      <w:r>
        <w:rPr>
          <w:rFonts w:ascii="Arial" w:hAnsi="Arial" w:cs="Arial"/>
          <w:color w:val="333333"/>
          <w:sz w:val="21"/>
          <w:szCs w:val="21"/>
        </w:rPr>
        <w:t xml:space="preserve"> наблюдаемым</w:t>
      </w:r>
    </w:p>
    <w:p w14:paraId="33C130C0" w14:textId="77777777" w:rsidR="00A945B5" w:rsidRDefault="00A945B5" w:rsidP="00A945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Заключение</w:t>
      </w:r>
    </w:p>
    <w:p w14:paraId="69F09626" w14:textId="0210DA5D" w:rsidR="005E23AC" w:rsidRPr="00A945B5" w:rsidRDefault="005E23AC" w:rsidP="00A945B5"/>
    <w:sectPr w:rsidR="005E23AC" w:rsidRPr="00A945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20AF" w14:textId="77777777" w:rsidR="0052384A" w:rsidRDefault="0052384A">
      <w:pPr>
        <w:spacing w:after="0" w:line="240" w:lineRule="auto"/>
      </w:pPr>
      <w:r>
        <w:separator/>
      </w:r>
    </w:p>
  </w:endnote>
  <w:endnote w:type="continuationSeparator" w:id="0">
    <w:p w14:paraId="72E507CB" w14:textId="77777777" w:rsidR="0052384A" w:rsidRDefault="0052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C223" w14:textId="77777777" w:rsidR="0052384A" w:rsidRDefault="0052384A"/>
    <w:p w14:paraId="6AFDBE03" w14:textId="77777777" w:rsidR="0052384A" w:rsidRDefault="0052384A"/>
    <w:p w14:paraId="236F5853" w14:textId="77777777" w:rsidR="0052384A" w:rsidRDefault="0052384A"/>
    <w:p w14:paraId="019C3CE6" w14:textId="77777777" w:rsidR="0052384A" w:rsidRDefault="0052384A"/>
    <w:p w14:paraId="61D907BD" w14:textId="77777777" w:rsidR="0052384A" w:rsidRDefault="0052384A"/>
    <w:p w14:paraId="5E0AC2BD" w14:textId="77777777" w:rsidR="0052384A" w:rsidRDefault="0052384A"/>
    <w:p w14:paraId="5DDDB33C" w14:textId="77777777" w:rsidR="0052384A" w:rsidRDefault="005238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1D148F" wp14:editId="75AA69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2F44" w14:textId="77777777" w:rsidR="0052384A" w:rsidRDefault="005238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D14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C32F44" w14:textId="77777777" w:rsidR="0052384A" w:rsidRDefault="005238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1F830" w14:textId="77777777" w:rsidR="0052384A" w:rsidRDefault="0052384A"/>
    <w:p w14:paraId="210B18CA" w14:textId="77777777" w:rsidR="0052384A" w:rsidRDefault="0052384A"/>
    <w:p w14:paraId="41C2BE92" w14:textId="77777777" w:rsidR="0052384A" w:rsidRDefault="005238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B13062" wp14:editId="1999E3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846E9" w14:textId="77777777" w:rsidR="0052384A" w:rsidRDefault="0052384A"/>
                          <w:p w14:paraId="0F651723" w14:textId="77777777" w:rsidR="0052384A" w:rsidRDefault="005238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130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1846E9" w14:textId="77777777" w:rsidR="0052384A" w:rsidRDefault="0052384A"/>
                    <w:p w14:paraId="0F651723" w14:textId="77777777" w:rsidR="0052384A" w:rsidRDefault="005238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15C1ED" w14:textId="77777777" w:rsidR="0052384A" w:rsidRDefault="0052384A"/>
    <w:p w14:paraId="48BD8799" w14:textId="77777777" w:rsidR="0052384A" w:rsidRDefault="0052384A">
      <w:pPr>
        <w:rPr>
          <w:sz w:val="2"/>
          <w:szCs w:val="2"/>
        </w:rPr>
      </w:pPr>
    </w:p>
    <w:p w14:paraId="2A07E501" w14:textId="77777777" w:rsidR="0052384A" w:rsidRDefault="0052384A"/>
    <w:p w14:paraId="0BE92AD6" w14:textId="77777777" w:rsidR="0052384A" w:rsidRDefault="0052384A">
      <w:pPr>
        <w:spacing w:after="0" w:line="240" w:lineRule="auto"/>
      </w:pPr>
    </w:p>
  </w:footnote>
  <w:footnote w:type="continuationSeparator" w:id="0">
    <w:p w14:paraId="5DF9B316" w14:textId="77777777" w:rsidR="0052384A" w:rsidRDefault="0052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4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148224</TotalTime>
  <Pages>2</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4170</cp:revision>
  <cp:lastPrinted>2009-02-06T05:36:00Z</cp:lastPrinted>
  <dcterms:created xsi:type="dcterms:W3CDTF">2024-01-07T13:43:00Z</dcterms:created>
  <dcterms:modified xsi:type="dcterms:W3CDTF">2025-08-19T20:56:00Z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