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88A27"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Павлов-Веревкин, Борис Викторович.</w:t>
      </w:r>
    </w:p>
    <w:p w14:paraId="17A8CD31"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 xml:space="preserve">Отклик и распад в некоторых гамильтоновых </w:t>
      </w:r>
      <w:proofErr w:type="gramStart"/>
      <w:r w:rsidRPr="0007309D">
        <w:rPr>
          <w:rFonts w:ascii="Helvetica" w:eastAsia="Symbol" w:hAnsi="Helvetica" w:cs="Helvetica"/>
          <w:b/>
          <w:bCs/>
          <w:color w:val="222222"/>
          <w:kern w:val="0"/>
          <w:sz w:val="21"/>
          <w:szCs w:val="21"/>
          <w:lang w:eastAsia="ru-RU"/>
        </w:rPr>
        <w:t>системах :</w:t>
      </w:r>
      <w:proofErr w:type="gramEnd"/>
      <w:r w:rsidRPr="0007309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- 131 </w:t>
      </w:r>
      <w:proofErr w:type="gramStart"/>
      <w:r w:rsidRPr="0007309D">
        <w:rPr>
          <w:rFonts w:ascii="Helvetica" w:eastAsia="Symbol" w:hAnsi="Helvetica" w:cs="Helvetica"/>
          <w:b/>
          <w:bCs/>
          <w:color w:val="222222"/>
          <w:kern w:val="0"/>
          <w:sz w:val="21"/>
          <w:szCs w:val="21"/>
          <w:lang w:eastAsia="ru-RU"/>
        </w:rPr>
        <w:t>с. :</w:t>
      </w:r>
      <w:proofErr w:type="gramEnd"/>
      <w:r w:rsidRPr="0007309D">
        <w:rPr>
          <w:rFonts w:ascii="Helvetica" w:eastAsia="Symbol" w:hAnsi="Helvetica" w:cs="Helvetica"/>
          <w:b/>
          <w:bCs/>
          <w:color w:val="222222"/>
          <w:kern w:val="0"/>
          <w:sz w:val="21"/>
          <w:szCs w:val="21"/>
          <w:lang w:eastAsia="ru-RU"/>
        </w:rPr>
        <w:t xml:space="preserve"> ил.</w:t>
      </w:r>
    </w:p>
    <w:p w14:paraId="41D48E2B"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 xml:space="preserve">Оглавление </w:t>
      </w:r>
      <w:proofErr w:type="spellStart"/>
      <w:r w:rsidRPr="0007309D">
        <w:rPr>
          <w:rFonts w:ascii="Helvetica" w:eastAsia="Symbol" w:hAnsi="Helvetica" w:cs="Helvetica"/>
          <w:b/>
          <w:bCs/>
          <w:color w:val="222222"/>
          <w:kern w:val="0"/>
          <w:sz w:val="21"/>
          <w:szCs w:val="21"/>
          <w:lang w:eastAsia="ru-RU"/>
        </w:rPr>
        <w:t>диссертациикандидат</w:t>
      </w:r>
      <w:proofErr w:type="spellEnd"/>
      <w:r w:rsidRPr="0007309D">
        <w:rPr>
          <w:rFonts w:ascii="Helvetica" w:eastAsia="Symbol" w:hAnsi="Helvetica" w:cs="Helvetica"/>
          <w:b/>
          <w:bCs/>
          <w:color w:val="222222"/>
          <w:kern w:val="0"/>
          <w:sz w:val="21"/>
          <w:szCs w:val="21"/>
          <w:lang w:eastAsia="ru-RU"/>
        </w:rPr>
        <w:t xml:space="preserve"> физико-математических наук Павлов-Веревкин, Борис Викторович</w:t>
      </w:r>
    </w:p>
    <w:p w14:paraId="125ED866"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I Введение</w:t>
      </w:r>
    </w:p>
    <w:p w14:paraId="5BA06D30"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II Отклик гамильтоновых систем на внешнее поле</w:t>
      </w:r>
    </w:p>
    <w:p w14:paraId="3489A3C1"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 Глава 1. Отклик одномерных нелинейных осцилляторов на внешнее однородное гармоническое поле: резонансный и хаотический случаи</w:t>
      </w:r>
    </w:p>
    <w:p w14:paraId="1F5BEA5F"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1.1 Введение.</w:t>
      </w:r>
    </w:p>
    <w:p w14:paraId="243B0E63"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1.2 Модель.</w:t>
      </w:r>
    </w:p>
    <w:p w14:paraId="08A3B792"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1.3 Резонансный случай</w:t>
      </w:r>
    </w:p>
    <w:p w14:paraId="0BC61A15"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1.3.1 Аналитическое решение.</w:t>
      </w:r>
    </w:p>
    <w:p w14:paraId="49E35A64"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1.3.2 Численный эксперимент.</w:t>
      </w:r>
    </w:p>
    <w:p w14:paraId="320F8219"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1.3.3 Высшие резонансы.</w:t>
      </w:r>
    </w:p>
    <w:p w14:paraId="17FED5C5"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1.4 Хаотический случай.</w:t>
      </w:r>
    </w:p>
    <w:p w14:paraId="265BB47E"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1.5 Обсуждение результатов.</w:t>
      </w:r>
    </w:p>
    <w:p w14:paraId="27281C05"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1.6 Дополнение.</w:t>
      </w:r>
    </w:p>
    <w:p w14:paraId="48C7A1EA"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2 Глава 2. Квадратичный отклик зеркально-симметричных систем на нерезонансное поле и принцип соответствия</w:t>
      </w:r>
    </w:p>
    <w:p w14:paraId="2D9B6D65"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III Распад нелинейных консервативных систем</w:t>
      </w:r>
    </w:p>
    <w:p w14:paraId="3EC077EF"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3 Глава 3. Биллиард Бора: распад системы с дополнительным интегралом движения</w:t>
      </w:r>
    </w:p>
    <w:p w14:paraId="78C5E729"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3.1 Введение.</w:t>
      </w:r>
    </w:p>
    <w:p w14:paraId="5B41F9D8"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3.2 Модель.</w:t>
      </w:r>
    </w:p>
    <w:p w14:paraId="0D1AA751"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3.3 Связанные состояния.</w:t>
      </w:r>
    </w:p>
    <w:p w14:paraId="52918BB7"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 xml:space="preserve">3.4 </w:t>
      </w:r>
      <w:proofErr w:type="spellStart"/>
      <w:r w:rsidRPr="0007309D">
        <w:rPr>
          <w:rFonts w:ascii="Helvetica" w:eastAsia="Symbol" w:hAnsi="Helvetica" w:cs="Helvetica"/>
          <w:b/>
          <w:bCs/>
          <w:color w:val="222222"/>
          <w:kern w:val="0"/>
          <w:sz w:val="21"/>
          <w:szCs w:val="21"/>
          <w:lang w:eastAsia="ru-RU"/>
        </w:rPr>
        <w:t>Распадные</w:t>
      </w:r>
      <w:proofErr w:type="spellEnd"/>
      <w:r w:rsidRPr="0007309D">
        <w:rPr>
          <w:rFonts w:ascii="Helvetica" w:eastAsia="Symbol" w:hAnsi="Helvetica" w:cs="Helvetica"/>
          <w:b/>
          <w:bCs/>
          <w:color w:val="222222"/>
          <w:kern w:val="0"/>
          <w:sz w:val="21"/>
          <w:szCs w:val="21"/>
          <w:lang w:eastAsia="ru-RU"/>
        </w:rPr>
        <w:t xml:space="preserve"> состояния.</w:t>
      </w:r>
    </w:p>
    <w:p w14:paraId="34A9DBA6"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3.5 Численный эксперимент.</w:t>
      </w:r>
    </w:p>
    <w:p w14:paraId="735C45EB"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3.6 Ансамбль рассеяния.</w:t>
      </w:r>
    </w:p>
    <w:p w14:paraId="35F347AD"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3.7 Обсуждение результатов.</w:t>
      </w:r>
    </w:p>
    <w:p w14:paraId="511182B3"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 xml:space="preserve">4 Глава 4. Распадающиеся и </w:t>
      </w:r>
      <w:proofErr w:type="spellStart"/>
      <w:r w:rsidRPr="0007309D">
        <w:rPr>
          <w:rFonts w:ascii="Helvetica" w:eastAsia="Symbol" w:hAnsi="Helvetica" w:cs="Helvetica"/>
          <w:b/>
          <w:bCs/>
          <w:color w:val="222222"/>
          <w:kern w:val="0"/>
          <w:sz w:val="21"/>
          <w:szCs w:val="21"/>
          <w:lang w:eastAsia="ru-RU"/>
        </w:rPr>
        <w:t>нераспадающиеся</w:t>
      </w:r>
      <w:proofErr w:type="spellEnd"/>
      <w:r w:rsidRPr="0007309D">
        <w:rPr>
          <w:rFonts w:ascii="Helvetica" w:eastAsia="Symbol" w:hAnsi="Helvetica" w:cs="Helvetica"/>
          <w:b/>
          <w:bCs/>
          <w:color w:val="222222"/>
          <w:kern w:val="0"/>
          <w:sz w:val="21"/>
          <w:szCs w:val="21"/>
          <w:lang w:eastAsia="ru-RU"/>
        </w:rPr>
        <w:t xml:space="preserve"> состояния классических нелинейных двумерных осцилляторов</w:t>
      </w:r>
    </w:p>
    <w:p w14:paraId="27CFF87A"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4.1 Введение.</w:t>
      </w:r>
    </w:p>
    <w:p w14:paraId="707C25ED"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4.2 Модель и начальный ансамбль</w:t>
      </w:r>
    </w:p>
    <w:p w14:paraId="65C7EB7B"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lastRenderedPageBreak/>
        <w:t xml:space="preserve">4.3 Маятниковая модель и </w:t>
      </w:r>
      <w:proofErr w:type="spellStart"/>
      <w:r w:rsidRPr="0007309D">
        <w:rPr>
          <w:rFonts w:ascii="Helvetica" w:eastAsia="Symbol" w:hAnsi="Helvetica" w:cs="Helvetica"/>
          <w:b/>
          <w:bCs/>
          <w:color w:val="222222"/>
          <w:kern w:val="0"/>
          <w:sz w:val="21"/>
          <w:szCs w:val="21"/>
          <w:lang w:eastAsia="ru-RU"/>
        </w:rPr>
        <w:t>нераспадающаяся</w:t>
      </w:r>
      <w:proofErr w:type="spellEnd"/>
      <w:r w:rsidRPr="0007309D">
        <w:rPr>
          <w:rFonts w:ascii="Helvetica" w:eastAsia="Symbol" w:hAnsi="Helvetica" w:cs="Helvetica"/>
          <w:b/>
          <w:bCs/>
          <w:color w:val="222222"/>
          <w:kern w:val="0"/>
          <w:sz w:val="21"/>
          <w:szCs w:val="21"/>
          <w:lang w:eastAsia="ru-RU"/>
        </w:rPr>
        <w:t xml:space="preserve"> часть ансамбля Е.</w:t>
      </w:r>
    </w:p>
    <w:p w14:paraId="41A1CD96"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 xml:space="preserve">4.4 </w:t>
      </w:r>
      <w:proofErr w:type="spellStart"/>
      <w:r w:rsidRPr="0007309D">
        <w:rPr>
          <w:rFonts w:ascii="Helvetica" w:eastAsia="Symbol" w:hAnsi="Helvetica" w:cs="Helvetica"/>
          <w:b/>
          <w:bCs/>
          <w:color w:val="222222"/>
          <w:kern w:val="0"/>
          <w:sz w:val="21"/>
          <w:szCs w:val="21"/>
          <w:lang w:eastAsia="ru-RU"/>
        </w:rPr>
        <w:t>Сепаратрисное</w:t>
      </w:r>
      <w:proofErr w:type="spellEnd"/>
      <w:r w:rsidRPr="0007309D">
        <w:rPr>
          <w:rFonts w:ascii="Helvetica" w:eastAsia="Symbol" w:hAnsi="Helvetica" w:cs="Helvetica"/>
          <w:b/>
          <w:bCs/>
          <w:color w:val="222222"/>
          <w:kern w:val="0"/>
          <w:sz w:val="21"/>
          <w:szCs w:val="21"/>
          <w:lang w:eastAsia="ru-RU"/>
        </w:rPr>
        <w:t xml:space="preserve"> отображение и скорость распада</w:t>
      </w:r>
    </w:p>
    <w:p w14:paraId="7758CFA7" w14:textId="77777777" w:rsidR="0007309D" w:rsidRPr="0007309D" w:rsidRDefault="0007309D" w:rsidP="0007309D">
      <w:pPr>
        <w:rPr>
          <w:rFonts w:ascii="Helvetica" w:eastAsia="Symbol" w:hAnsi="Helvetica" w:cs="Helvetica"/>
          <w:b/>
          <w:bCs/>
          <w:color w:val="222222"/>
          <w:kern w:val="0"/>
          <w:sz w:val="21"/>
          <w:szCs w:val="21"/>
          <w:lang w:eastAsia="ru-RU"/>
        </w:rPr>
      </w:pPr>
      <w:r w:rsidRPr="0007309D">
        <w:rPr>
          <w:rFonts w:ascii="Helvetica" w:eastAsia="Symbol" w:hAnsi="Helvetica" w:cs="Helvetica"/>
          <w:b/>
          <w:bCs/>
          <w:color w:val="222222"/>
          <w:kern w:val="0"/>
          <w:sz w:val="21"/>
          <w:szCs w:val="21"/>
          <w:lang w:eastAsia="ru-RU"/>
        </w:rPr>
        <w:t>4.5 Обсуждение результатов.</w:t>
      </w:r>
    </w:p>
    <w:p w14:paraId="77FDBE4B" w14:textId="5299A387" w:rsidR="00410372" w:rsidRPr="0007309D" w:rsidRDefault="00410372" w:rsidP="0007309D"/>
    <w:sectPr w:rsidR="00410372" w:rsidRPr="000730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B2E9" w14:textId="77777777" w:rsidR="00A151C2" w:rsidRDefault="00A151C2">
      <w:pPr>
        <w:spacing w:after="0" w:line="240" w:lineRule="auto"/>
      </w:pPr>
      <w:r>
        <w:separator/>
      </w:r>
    </w:p>
  </w:endnote>
  <w:endnote w:type="continuationSeparator" w:id="0">
    <w:p w14:paraId="5BED0ADF" w14:textId="77777777" w:rsidR="00A151C2" w:rsidRDefault="00A1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1F19" w14:textId="77777777" w:rsidR="00A151C2" w:rsidRDefault="00A151C2"/>
    <w:p w14:paraId="27F7DC4C" w14:textId="77777777" w:rsidR="00A151C2" w:rsidRDefault="00A151C2"/>
    <w:p w14:paraId="6ACB1DC2" w14:textId="77777777" w:rsidR="00A151C2" w:rsidRDefault="00A151C2"/>
    <w:p w14:paraId="0D4186A1" w14:textId="77777777" w:rsidR="00A151C2" w:rsidRDefault="00A151C2"/>
    <w:p w14:paraId="25D67860" w14:textId="77777777" w:rsidR="00A151C2" w:rsidRDefault="00A151C2"/>
    <w:p w14:paraId="2FD4C2F5" w14:textId="77777777" w:rsidR="00A151C2" w:rsidRDefault="00A151C2"/>
    <w:p w14:paraId="104800CE" w14:textId="77777777" w:rsidR="00A151C2" w:rsidRDefault="00A151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F78D5C" wp14:editId="53F6D8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AE0D0" w14:textId="77777777" w:rsidR="00A151C2" w:rsidRDefault="00A151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78D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5AE0D0" w14:textId="77777777" w:rsidR="00A151C2" w:rsidRDefault="00A151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53A379" w14:textId="77777777" w:rsidR="00A151C2" w:rsidRDefault="00A151C2"/>
    <w:p w14:paraId="64B31B1E" w14:textId="77777777" w:rsidR="00A151C2" w:rsidRDefault="00A151C2"/>
    <w:p w14:paraId="462436A6" w14:textId="77777777" w:rsidR="00A151C2" w:rsidRDefault="00A151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DA2E9C" wp14:editId="303ADC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53362" w14:textId="77777777" w:rsidR="00A151C2" w:rsidRDefault="00A151C2"/>
                          <w:p w14:paraId="254112D7" w14:textId="77777777" w:rsidR="00A151C2" w:rsidRDefault="00A151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DA2E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753362" w14:textId="77777777" w:rsidR="00A151C2" w:rsidRDefault="00A151C2"/>
                    <w:p w14:paraId="254112D7" w14:textId="77777777" w:rsidR="00A151C2" w:rsidRDefault="00A151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515598" w14:textId="77777777" w:rsidR="00A151C2" w:rsidRDefault="00A151C2"/>
    <w:p w14:paraId="294D9983" w14:textId="77777777" w:rsidR="00A151C2" w:rsidRDefault="00A151C2">
      <w:pPr>
        <w:rPr>
          <w:sz w:val="2"/>
          <w:szCs w:val="2"/>
        </w:rPr>
      </w:pPr>
    </w:p>
    <w:p w14:paraId="210702A5" w14:textId="77777777" w:rsidR="00A151C2" w:rsidRDefault="00A151C2"/>
    <w:p w14:paraId="24FD356E" w14:textId="77777777" w:rsidR="00A151C2" w:rsidRDefault="00A151C2">
      <w:pPr>
        <w:spacing w:after="0" w:line="240" w:lineRule="auto"/>
      </w:pPr>
    </w:p>
  </w:footnote>
  <w:footnote w:type="continuationSeparator" w:id="0">
    <w:p w14:paraId="1F522E95" w14:textId="77777777" w:rsidR="00A151C2" w:rsidRDefault="00A15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1C2"/>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143760</TotalTime>
  <Pages>2</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3856</cp:revision>
  <cp:lastPrinted>2009-02-06T05:36:00Z</cp:lastPrinted>
  <dcterms:created xsi:type="dcterms:W3CDTF">2024-01-07T13:43:00Z</dcterms:created>
  <dcterms:modified xsi:type="dcterms:W3CDTF">2025-08-02T09:40:00Z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