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86909" w14:textId="77777777" w:rsidR="00D8401F" w:rsidRPr="00D8401F" w:rsidRDefault="00D8401F" w:rsidP="00D8401F">
      <w:pPr>
        <w:rPr>
          <w:rFonts w:ascii="Helvetica" w:eastAsia="Symbol" w:hAnsi="Helvetica" w:cs="Helvetica"/>
          <w:b/>
          <w:bCs/>
          <w:color w:val="222222"/>
          <w:kern w:val="0"/>
          <w:sz w:val="21"/>
          <w:szCs w:val="21"/>
          <w:lang w:eastAsia="ru-RU"/>
        </w:rPr>
      </w:pPr>
      <w:r w:rsidRPr="00D8401F">
        <w:rPr>
          <w:rFonts w:ascii="Helvetica" w:eastAsia="Symbol" w:hAnsi="Helvetica" w:cs="Helvetica"/>
          <w:b/>
          <w:bCs/>
          <w:color w:val="222222"/>
          <w:kern w:val="0"/>
          <w:sz w:val="21"/>
          <w:szCs w:val="21"/>
          <w:lang w:eastAsia="ru-RU"/>
        </w:rPr>
        <w:t>Сорокин, Александр Разумникович.</w:t>
      </w:r>
    </w:p>
    <w:p w14:paraId="3722666C" w14:textId="77777777" w:rsidR="00D8401F" w:rsidRPr="00D8401F" w:rsidRDefault="00D8401F" w:rsidP="00D8401F">
      <w:pPr>
        <w:rPr>
          <w:rFonts w:ascii="Helvetica" w:eastAsia="Symbol" w:hAnsi="Helvetica" w:cs="Helvetica"/>
          <w:b/>
          <w:bCs/>
          <w:color w:val="222222"/>
          <w:kern w:val="0"/>
          <w:sz w:val="21"/>
          <w:szCs w:val="21"/>
          <w:lang w:eastAsia="ru-RU"/>
        </w:rPr>
      </w:pPr>
      <w:r w:rsidRPr="00D8401F">
        <w:rPr>
          <w:rFonts w:ascii="Helvetica" w:eastAsia="Symbol" w:hAnsi="Helvetica" w:cs="Helvetica"/>
          <w:b/>
          <w:bCs/>
          <w:color w:val="222222"/>
          <w:kern w:val="0"/>
          <w:sz w:val="21"/>
          <w:szCs w:val="21"/>
          <w:lang w:eastAsia="ru-RU"/>
        </w:rPr>
        <w:t>Исследование новых способов возбуждения газоразрядных лазеров высокого и среднего давления : диссертация ... доктора физико-математических наук в форме науч. докл. : 01.04.04. - Новосибирск, 1999. - 54 с. : ил.; 20х15 см.</w:t>
      </w:r>
    </w:p>
    <w:p w14:paraId="3DC00325" w14:textId="77777777" w:rsidR="00D8401F" w:rsidRPr="00D8401F" w:rsidRDefault="00D8401F" w:rsidP="00D8401F">
      <w:pPr>
        <w:rPr>
          <w:rFonts w:ascii="Helvetica" w:eastAsia="Symbol" w:hAnsi="Helvetica" w:cs="Helvetica"/>
          <w:b/>
          <w:bCs/>
          <w:color w:val="222222"/>
          <w:kern w:val="0"/>
          <w:sz w:val="21"/>
          <w:szCs w:val="21"/>
          <w:lang w:eastAsia="ru-RU"/>
        </w:rPr>
      </w:pPr>
      <w:r w:rsidRPr="00D8401F">
        <w:rPr>
          <w:rFonts w:ascii="Helvetica" w:eastAsia="Symbol" w:hAnsi="Helvetica" w:cs="Helvetica"/>
          <w:b/>
          <w:bCs/>
          <w:color w:val="222222"/>
          <w:kern w:val="0"/>
          <w:sz w:val="21"/>
          <w:szCs w:val="21"/>
          <w:lang w:eastAsia="ru-RU"/>
        </w:rPr>
        <w:t>Оглавление диссертациидоктор физико-математических наук в форме науч. докл. Сорокин, Александр Разумникович</w:t>
      </w:r>
    </w:p>
    <w:p w14:paraId="0A4567FA" w14:textId="77777777" w:rsidR="00D8401F" w:rsidRPr="00D8401F" w:rsidRDefault="00D8401F" w:rsidP="00D8401F">
      <w:pPr>
        <w:rPr>
          <w:rFonts w:ascii="Helvetica" w:eastAsia="Symbol" w:hAnsi="Helvetica" w:cs="Helvetica"/>
          <w:b/>
          <w:bCs/>
          <w:color w:val="222222"/>
          <w:kern w:val="0"/>
          <w:sz w:val="21"/>
          <w:szCs w:val="21"/>
          <w:lang w:eastAsia="ru-RU"/>
        </w:rPr>
      </w:pPr>
      <w:r w:rsidRPr="00D8401F">
        <w:rPr>
          <w:rFonts w:ascii="Helvetica" w:eastAsia="Symbol" w:hAnsi="Helvetica" w:cs="Helvetica"/>
          <w:b/>
          <w:bCs/>
          <w:color w:val="222222"/>
          <w:kern w:val="0"/>
          <w:sz w:val="21"/>
          <w:szCs w:val="21"/>
          <w:lang w:eastAsia="ru-RU"/>
        </w:rPr>
        <w:t>ОБЩАЯ ХАРАКТЕРИСТИКА РАБОТЫ ЧАСТЬ I. ЛАЗЕРЫ ВЫСОКОГО ДАВЛЕНИЯ.</w:t>
      </w:r>
    </w:p>
    <w:p w14:paraId="23B2AAE1" w14:textId="77777777" w:rsidR="00D8401F" w:rsidRPr="00D8401F" w:rsidRDefault="00D8401F" w:rsidP="00D8401F">
      <w:pPr>
        <w:rPr>
          <w:rFonts w:ascii="Helvetica" w:eastAsia="Symbol" w:hAnsi="Helvetica" w:cs="Helvetica"/>
          <w:b/>
          <w:bCs/>
          <w:color w:val="222222"/>
          <w:kern w:val="0"/>
          <w:sz w:val="21"/>
          <w:szCs w:val="21"/>
          <w:lang w:eastAsia="ru-RU"/>
        </w:rPr>
      </w:pPr>
      <w:r w:rsidRPr="00D8401F">
        <w:rPr>
          <w:rFonts w:ascii="Helvetica" w:eastAsia="Symbol" w:hAnsi="Helvetica" w:cs="Helvetica"/>
          <w:b/>
          <w:bCs/>
          <w:color w:val="222222"/>
          <w:kern w:val="0"/>
          <w:sz w:val="21"/>
          <w:szCs w:val="21"/>
          <w:lang w:eastAsia="ru-RU"/>
        </w:rPr>
        <w:t>1.1. Емкостный и двойной поперечный разряды.</w:t>
      </w:r>
    </w:p>
    <w:p w14:paraId="1852310A" w14:textId="77777777" w:rsidR="00D8401F" w:rsidRPr="00D8401F" w:rsidRDefault="00D8401F" w:rsidP="00D8401F">
      <w:pPr>
        <w:rPr>
          <w:rFonts w:ascii="Helvetica" w:eastAsia="Symbol" w:hAnsi="Helvetica" w:cs="Helvetica"/>
          <w:b/>
          <w:bCs/>
          <w:color w:val="222222"/>
          <w:kern w:val="0"/>
          <w:sz w:val="21"/>
          <w:szCs w:val="21"/>
          <w:lang w:eastAsia="ru-RU"/>
        </w:rPr>
      </w:pPr>
      <w:r w:rsidRPr="00D8401F">
        <w:rPr>
          <w:rFonts w:ascii="Helvetica" w:eastAsia="Symbol" w:hAnsi="Helvetica" w:cs="Helvetica"/>
          <w:b/>
          <w:bCs/>
          <w:color w:val="222222"/>
          <w:kern w:val="0"/>
          <w:sz w:val="21"/>
          <w:szCs w:val="21"/>
          <w:lang w:eastAsia="ru-RU"/>
        </w:rPr>
        <w:t>1.2. Молекулярные лазеры на N2 и С02.</w:t>
      </w:r>
    </w:p>
    <w:p w14:paraId="2430020F" w14:textId="77777777" w:rsidR="00D8401F" w:rsidRPr="00D8401F" w:rsidRDefault="00D8401F" w:rsidP="00D8401F">
      <w:pPr>
        <w:rPr>
          <w:rFonts w:ascii="Helvetica" w:eastAsia="Symbol" w:hAnsi="Helvetica" w:cs="Helvetica"/>
          <w:b/>
          <w:bCs/>
          <w:color w:val="222222"/>
          <w:kern w:val="0"/>
          <w:sz w:val="21"/>
          <w:szCs w:val="21"/>
          <w:lang w:eastAsia="ru-RU"/>
        </w:rPr>
      </w:pPr>
      <w:r w:rsidRPr="00D8401F">
        <w:rPr>
          <w:rFonts w:ascii="Helvetica" w:eastAsia="Symbol" w:hAnsi="Helvetica" w:cs="Helvetica"/>
          <w:b/>
          <w:bCs/>
          <w:color w:val="222222"/>
          <w:kern w:val="0"/>
          <w:sz w:val="21"/>
          <w:szCs w:val="21"/>
          <w:lang w:eastAsia="ru-RU"/>
        </w:rPr>
        <w:t>1.3. Лазеры наИК переходах Аг, Кг, Хе.</w:t>
      </w:r>
    </w:p>
    <w:p w14:paraId="60CBC07B" w14:textId="77777777" w:rsidR="00D8401F" w:rsidRPr="00D8401F" w:rsidRDefault="00D8401F" w:rsidP="00D8401F">
      <w:pPr>
        <w:rPr>
          <w:rFonts w:ascii="Helvetica" w:eastAsia="Symbol" w:hAnsi="Helvetica" w:cs="Helvetica"/>
          <w:b/>
          <w:bCs/>
          <w:color w:val="222222"/>
          <w:kern w:val="0"/>
          <w:sz w:val="21"/>
          <w:szCs w:val="21"/>
          <w:lang w:eastAsia="ru-RU"/>
        </w:rPr>
      </w:pPr>
      <w:r w:rsidRPr="00D8401F">
        <w:rPr>
          <w:rFonts w:ascii="Helvetica" w:eastAsia="Symbol" w:hAnsi="Helvetica" w:cs="Helvetica"/>
          <w:b/>
          <w:bCs/>
          <w:color w:val="222222"/>
          <w:kern w:val="0"/>
          <w:sz w:val="21"/>
          <w:szCs w:val="21"/>
          <w:lang w:eastAsia="ru-RU"/>
        </w:rPr>
        <w:t>1.4. Мощный импульсный разряд со стабилизированным катодным пятном.</w:t>
      </w:r>
    </w:p>
    <w:p w14:paraId="03A41005" w14:textId="77777777" w:rsidR="00D8401F" w:rsidRPr="00D8401F" w:rsidRDefault="00D8401F" w:rsidP="00D8401F">
      <w:pPr>
        <w:rPr>
          <w:rFonts w:ascii="Helvetica" w:eastAsia="Symbol" w:hAnsi="Helvetica" w:cs="Helvetica"/>
          <w:b/>
          <w:bCs/>
          <w:color w:val="222222"/>
          <w:kern w:val="0"/>
          <w:sz w:val="21"/>
          <w:szCs w:val="21"/>
          <w:lang w:eastAsia="ru-RU"/>
        </w:rPr>
      </w:pPr>
      <w:r w:rsidRPr="00D8401F">
        <w:rPr>
          <w:rFonts w:ascii="Helvetica" w:eastAsia="Symbol" w:hAnsi="Helvetica" w:cs="Helvetica"/>
          <w:b/>
          <w:bCs/>
          <w:color w:val="222222"/>
          <w:kern w:val="0"/>
          <w:sz w:val="21"/>
          <w:szCs w:val="21"/>
          <w:lang w:eastAsia="ru-RU"/>
        </w:rPr>
        <w:t>1.5. Характеристики излучения на рабочих переходах димеров инертных газов.</w:t>
      </w:r>
    </w:p>
    <w:p w14:paraId="4807416B" w14:textId="77777777" w:rsidR="00D8401F" w:rsidRPr="00D8401F" w:rsidRDefault="00D8401F" w:rsidP="00D8401F">
      <w:pPr>
        <w:rPr>
          <w:rFonts w:ascii="Helvetica" w:eastAsia="Symbol" w:hAnsi="Helvetica" w:cs="Helvetica"/>
          <w:b/>
          <w:bCs/>
          <w:color w:val="222222"/>
          <w:kern w:val="0"/>
          <w:sz w:val="21"/>
          <w:szCs w:val="21"/>
          <w:lang w:eastAsia="ru-RU"/>
        </w:rPr>
      </w:pPr>
      <w:r w:rsidRPr="00D8401F">
        <w:rPr>
          <w:rFonts w:ascii="Helvetica" w:eastAsia="Symbol" w:hAnsi="Helvetica" w:cs="Helvetica"/>
          <w:b/>
          <w:bCs/>
          <w:color w:val="222222"/>
          <w:kern w:val="0"/>
          <w:sz w:val="21"/>
          <w:szCs w:val="21"/>
          <w:lang w:eastAsia="ru-RU"/>
        </w:rPr>
        <w:t>1.6. Итоги части I.</w:t>
      </w:r>
    </w:p>
    <w:p w14:paraId="59658926" w14:textId="77777777" w:rsidR="00D8401F" w:rsidRPr="00D8401F" w:rsidRDefault="00D8401F" w:rsidP="00D8401F">
      <w:pPr>
        <w:rPr>
          <w:rFonts w:ascii="Helvetica" w:eastAsia="Symbol" w:hAnsi="Helvetica" w:cs="Helvetica"/>
          <w:b/>
          <w:bCs/>
          <w:color w:val="222222"/>
          <w:kern w:val="0"/>
          <w:sz w:val="21"/>
          <w:szCs w:val="21"/>
          <w:lang w:eastAsia="ru-RU"/>
        </w:rPr>
      </w:pPr>
      <w:r w:rsidRPr="00D8401F">
        <w:rPr>
          <w:rFonts w:ascii="Helvetica" w:eastAsia="Symbol" w:hAnsi="Helvetica" w:cs="Helvetica"/>
          <w:b/>
          <w:bCs/>
          <w:color w:val="222222"/>
          <w:kern w:val="0"/>
          <w:sz w:val="21"/>
          <w:szCs w:val="21"/>
          <w:lang w:eastAsia="ru-RU"/>
        </w:rPr>
        <w:t>ЧАСТЬ II. ИСТОЧНИК НАКАЧКИ ЛАЗЕРОВ СРЕДНЕГО ДАВЛЕНИЯ - ОТКРЫТЫЙ РАЗРЯД.</w:t>
      </w:r>
    </w:p>
    <w:p w14:paraId="274B6A7F" w14:textId="77777777" w:rsidR="00D8401F" w:rsidRPr="00D8401F" w:rsidRDefault="00D8401F" w:rsidP="00D8401F">
      <w:pPr>
        <w:rPr>
          <w:rFonts w:ascii="Helvetica" w:eastAsia="Symbol" w:hAnsi="Helvetica" w:cs="Helvetica"/>
          <w:b/>
          <w:bCs/>
          <w:color w:val="222222"/>
          <w:kern w:val="0"/>
          <w:sz w:val="21"/>
          <w:szCs w:val="21"/>
          <w:lang w:eastAsia="ru-RU"/>
        </w:rPr>
      </w:pPr>
      <w:r w:rsidRPr="00D8401F">
        <w:rPr>
          <w:rFonts w:ascii="Helvetica" w:eastAsia="Symbol" w:hAnsi="Helvetica" w:cs="Helvetica"/>
          <w:b/>
          <w:bCs/>
          <w:color w:val="222222"/>
          <w:kern w:val="0"/>
          <w:sz w:val="21"/>
          <w:szCs w:val="21"/>
          <w:lang w:eastAsia="ru-RU"/>
        </w:rPr>
        <w:t>2.1. Предварительный сведения об открытом разряде и его механизме.</w:t>
      </w:r>
    </w:p>
    <w:p w14:paraId="13414F00" w14:textId="77777777" w:rsidR="00D8401F" w:rsidRPr="00D8401F" w:rsidRDefault="00D8401F" w:rsidP="00D8401F">
      <w:pPr>
        <w:rPr>
          <w:rFonts w:ascii="Helvetica" w:eastAsia="Symbol" w:hAnsi="Helvetica" w:cs="Helvetica"/>
          <w:b/>
          <w:bCs/>
          <w:color w:val="222222"/>
          <w:kern w:val="0"/>
          <w:sz w:val="21"/>
          <w:szCs w:val="21"/>
          <w:lang w:eastAsia="ru-RU"/>
        </w:rPr>
      </w:pPr>
      <w:r w:rsidRPr="00D8401F">
        <w:rPr>
          <w:rFonts w:ascii="Helvetica" w:eastAsia="Symbol" w:hAnsi="Helvetica" w:cs="Helvetica"/>
          <w:b/>
          <w:bCs/>
          <w:color w:val="222222"/>
          <w:kern w:val="0"/>
          <w:sz w:val="21"/>
          <w:szCs w:val="21"/>
          <w:lang w:eastAsia="ru-RU"/>
        </w:rPr>
        <w:t>2.2. Энергетические характеристики разряда.</w:t>
      </w:r>
    </w:p>
    <w:p w14:paraId="4B8063B4" w14:textId="77777777" w:rsidR="00D8401F" w:rsidRPr="00D8401F" w:rsidRDefault="00D8401F" w:rsidP="00D8401F">
      <w:pPr>
        <w:rPr>
          <w:rFonts w:ascii="Helvetica" w:eastAsia="Symbol" w:hAnsi="Helvetica" w:cs="Helvetica"/>
          <w:b/>
          <w:bCs/>
          <w:color w:val="222222"/>
          <w:kern w:val="0"/>
          <w:sz w:val="21"/>
          <w:szCs w:val="21"/>
          <w:lang w:eastAsia="ru-RU"/>
        </w:rPr>
      </w:pPr>
      <w:r w:rsidRPr="00D8401F">
        <w:rPr>
          <w:rFonts w:ascii="Helvetica" w:eastAsia="Symbol" w:hAnsi="Helvetica" w:cs="Helvetica"/>
          <w:b/>
          <w:bCs/>
          <w:color w:val="222222"/>
          <w:kern w:val="0"/>
          <w:sz w:val="21"/>
          <w:szCs w:val="21"/>
          <w:lang w:eastAsia="ru-RU"/>
        </w:rPr>
        <w:t>2.3. Динамика развития разряда, структура, роль фотоэмиссии.</w:t>
      </w:r>
    </w:p>
    <w:p w14:paraId="177DCCC8" w14:textId="77777777" w:rsidR="00D8401F" w:rsidRPr="00D8401F" w:rsidRDefault="00D8401F" w:rsidP="00D8401F">
      <w:pPr>
        <w:rPr>
          <w:rFonts w:ascii="Helvetica" w:eastAsia="Symbol" w:hAnsi="Helvetica" w:cs="Helvetica"/>
          <w:b/>
          <w:bCs/>
          <w:color w:val="222222"/>
          <w:kern w:val="0"/>
          <w:sz w:val="21"/>
          <w:szCs w:val="21"/>
          <w:lang w:eastAsia="ru-RU"/>
        </w:rPr>
      </w:pPr>
      <w:r w:rsidRPr="00D8401F">
        <w:rPr>
          <w:rFonts w:ascii="Helvetica" w:eastAsia="Symbol" w:hAnsi="Helvetica" w:cs="Helvetica"/>
          <w:b/>
          <w:bCs/>
          <w:color w:val="222222"/>
          <w:kern w:val="0"/>
          <w:sz w:val="21"/>
          <w:szCs w:val="21"/>
          <w:lang w:eastAsia="ru-RU"/>
        </w:rPr>
        <w:t>2.4. Возможности источников накачки газовых лазеров на основе открытого разряда.</w:t>
      </w:r>
    </w:p>
    <w:p w14:paraId="3869883D" w14:textId="60BA7A88" w:rsidR="00F11235" w:rsidRPr="00D8401F" w:rsidRDefault="00F11235" w:rsidP="00D8401F"/>
    <w:sectPr w:rsidR="00F11235" w:rsidRPr="00D8401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4DE0" w14:textId="77777777" w:rsidR="003E0BE2" w:rsidRDefault="003E0BE2">
      <w:pPr>
        <w:spacing w:after="0" w:line="240" w:lineRule="auto"/>
      </w:pPr>
      <w:r>
        <w:separator/>
      </w:r>
    </w:p>
  </w:endnote>
  <w:endnote w:type="continuationSeparator" w:id="0">
    <w:p w14:paraId="53430469" w14:textId="77777777" w:rsidR="003E0BE2" w:rsidRDefault="003E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B03B" w14:textId="77777777" w:rsidR="003E0BE2" w:rsidRDefault="003E0BE2"/>
    <w:p w14:paraId="395F9E6D" w14:textId="77777777" w:rsidR="003E0BE2" w:rsidRDefault="003E0BE2"/>
    <w:p w14:paraId="244D9105" w14:textId="77777777" w:rsidR="003E0BE2" w:rsidRDefault="003E0BE2"/>
    <w:p w14:paraId="4EC122FD" w14:textId="77777777" w:rsidR="003E0BE2" w:rsidRDefault="003E0BE2"/>
    <w:p w14:paraId="62682A43" w14:textId="77777777" w:rsidR="003E0BE2" w:rsidRDefault="003E0BE2"/>
    <w:p w14:paraId="512A2AD3" w14:textId="77777777" w:rsidR="003E0BE2" w:rsidRDefault="003E0BE2"/>
    <w:p w14:paraId="59B9BC5D" w14:textId="77777777" w:rsidR="003E0BE2" w:rsidRDefault="003E0B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13CE9E" wp14:editId="34EA2C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F9FB7" w14:textId="77777777" w:rsidR="003E0BE2" w:rsidRDefault="003E0B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13CE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AF9FB7" w14:textId="77777777" w:rsidR="003E0BE2" w:rsidRDefault="003E0B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7C2236" w14:textId="77777777" w:rsidR="003E0BE2" w:rsidRDefault="003E0BE2"/>
    <w:p w14:paraId="46395712" w14:textId="77777777" w:rsidR="003E0BE2" w:rsidRDefault="003E0BE2"/>
    <w:p w14:paraId="20CE2522" w14:textId="77777777" w:rsidR="003E0BE2" w:rsidRDefault="003E0B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AA13AC" wp14:editId="15C172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1ED94" w14:textId="77777777" w:rsidR="003E0BE2" w:rsidRDefault="003E0BE2"/>
                          <w:p w14:paraId="6394410C" w14:textId="77777777" w:rsidR="003E0BE2" w:rsidRDefault="003E0B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AA13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D1ED94" w14:textId="77777777" w:rsidR="003E0BE2" w:rsidRDefault="003E0BE2"/>
                    <w:p w14:paraId="6394410C" w14:textId="77777777" w:rsidR="003E0BE2" w:rsidRDefault="003E0B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7349CB" w14:textId="77777777" w:rsidR="003E0BE2" w:rsidRDefault="003E0BE2"/>
    <w:p w14:paraId="24E2AC51" w14:textId="77777777" w:rsidR="003E0BE2" w:rsidRDefault="003E0BE2">
      <w:pPr>
        <w:rPr>
          <w:sz w:val="2"/>
          <w:szCs w:val="2"/>
        </w:rPr>
      </w:pPr>
    </w:p>
    <w:p w14:paraId="26F9626A" w14:textId="77777777" w:rsidR="003E0BE2" w:rsidRDefault="003E0BE2"/>
    <w:p w14:paraId="48413ED2" w14:textId="77777777" w:rsidR="003E0BE2" w:rsidRDefault="003E0BE2">
      <w:pPr>
        <w:spacing w:after="0" w:line="240" w:lineRule="auto"/>
      </w:pPr>
    </w:p>
  </w:footnote>
  <w:footnote w:type="continuationSeparator" w:id="0">
    <w:p w14:paraId="21261671" w14:textId="77777777" w:rsidR="003E0BE2" w:rsidRDefault="003E0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40F56E2"/>
    <w:multiLevelType w:val="multilevel"/>
    <w:tmpl w:val="DB7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5"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1"/>
  </w:num>
  <w:num w:numId="17">
    <w:abstractNumId w:val="83"/>
  </w:num>
  <w:num w:numId="18">
    <w:abstractNumId w:val="76"/>
  </w:num>
  <w:num w:numId="19">
    <w:abstractNumId w:val="116"/>
  </w:num>
  <w:num w:numId="20">
    <w:abstractNumId w:val="84"/>
  </w:num>
  <w:num w:numId="21">
    <w:abstractNumId w:val="93"/>
  </w:num>
  <w:num w:numId="22">
    <w:abstractNumId w:val="72"/>
  </w:num>
  <w:num w:numId="23">
    <w:abstractNumId w:val="115"/>
  </w:num>
  <w:num w:numId="24">
    <w:abstractNumId w:val="101"/>
  </w:num>
  <w:num w:numId="25">
    <w:abstractNumId w:val="99"/>
  </w:num>
  <w:num w:numId="26">
    <w:abstractNumId w:val="89"/>
  </w:num>
  <w:num w:numId="27">
    <w:abstractNumId w:val="82"/>
  </w:num>
  <w:num w:numId="28">
    <w:abstractNumId w:val="106"/>
  </w:num>
  <w:num w:numId="29">
    <w:abstractNumId w:val="96"/>
  </w:num>
  <w:num w:numId="30">
    <w:abstractNumId w:val="107"/>
  </w:num>
  <w:num w:numId="31">
    <w:abstractNumId w:val="95"/>
  </w:num>
  <w:num w:numId="32">
    <w:abstractNumId w:val="108"/>
  </w:num>
  <w:num w:numId="33">
    <w:abstractNumId w:val="117"/>
  </w:num>
  <w:num w:numId="34">
    <w:abstractNumId w:val="86"/>
  </w:num>
  <w:num w:numId="35">
    <w:abstractNumId w:val="98"/>
  </w:num>
  <w:num w:numId="36">
    <w:abstractNumId w:val="113"/>
  </w:num>
  <w:num w:numId="37">
    <w:abstractNumId w:val="104"/>
  </w:num>
  <w:num w:numId="38">
    <w:abstractNumId w:val="109"/>
  </w:num>
  <w:num w:numId="39">
    <w:abstractNumId w:val="102"/>
  </w:num>
  <w:num w:numId="40">
    <w:abstractNumId w:val="120"/>
  </w:num>
  <w:num w:numId="41">
    <w:abstractNumId w:val="75"/>
  </w:num>
  <w:num w:numId="42">
    <w:abstractNumId w:val="100"/>
  </w:num>
  <w:num w:numId="43">
    <w:abstractNumId w:val="97"/>
  </w:num>
  <w:num w:numId="44">
    <w:abstractNumId w:val="112"/>
  </w:num>
  <w:num w:numId="45">
    <w:abstractNumId w:val="94"/>
  </w:num>
  <w:num w:numId="46">
    <w:abstractNumId w:val="68"/>
  </w:num>
  <w:num w:numId="47">
    <w:abstractNumId w:val="119"/>
  </w:num>
  <w:num w:numId="48">
    <w:abstractNumId w:val="9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2"/>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173299</TotalTime>
  <Pages>1</Pages>
  <Words>154</Words>
  <Characters>883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5517</cp:revision>
  <cp:lastPrinted>2009-02-06T05:36:00Z</cp:lastPrinted>
  <dcterms:created xsi:type="dcterms:W3CDTF">2024-01-07T13:43:00Z</dcterms:created>
  <dcterms:modified xsi:type="dcterms:W3CDTF">2025-09-29T21:20:00Z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