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807FD5" w:rsidRDefault="00807FD5" w:rsidP="00807FD5">
      <w:r w:rsidRPr="00A71A1F">
        <w:rPr>
          <w:rFonts w:ascii="Times New Roman" w:hAnsi="Times New Roman" w:cs="Times New Roman"/>
          <w:b/>
          <w:sz w:val="24"/>
          <w:szCs w:val="24"/>
        </w:rPr>
        <w:t xml:space="preserve">Притоманова Ольга Михайлівна, </w:t>
      </w:r>
      <w:r w:rsidRPr="00A71A1F">
        <w:rPr>
          <w:rFonts w:ascii="Times New Roman" w:hAnsi="Times New Roman" w:cs="Times New Roman"/>
          <w:sz w:val="24"/>
          <w:szCs w:val="24"/>
        </w:rPr>
        <w:t>доцент кафедри обчислювальної математики та математичної кібернетики Дніпровського національного університету імені Олеся Гончара. Назва дисертації: «Нечіткі задачі оптимального розбиття множин: теоретичні основи, методи та алгоритми розв’язання». Шифр та назва спеціальності – 01.05.01 – теоретичні основи інформатики та кібернетики. Спецрада Д 08.051.09 Дніпровського національного університету імені Олеся Гончара</w:t>
      </w:r>
    </w:p>
    <w:sectPr w:rsidR="00706318" w:rsidRPr="00807FD5"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512D6">
                <w:pPr>
                  <w:spacing w:line="240" w:lineRule="auto"/>
                </w:pPr>
                <w:fldSimple w:instr=" PAGE \* MERGEFORMAT ">
                  <w:r w:rsidR="00984229">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512D6">
                <w:pPr>
                  <w:spacing w:line="240" w:lineRule="auto"/>
                </w:pPr>
                <w:fldSimple w:instr=" PAGE \* MERGEFORMAT ">
                  <w:r w:rsidR="00807FD5" w:rsidRPr="00807FD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512D6">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512D6">
      <w:pPr>
        <w:rPr>
          <w:sz w:val="2"/>
          <w:szCs w:val="2"/>
        </w:rPr>
      </w:pPr>
      <w:r w:rsidRPr="009512D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512D6">
    <w:pPr>
      <w:rPr>
        <w:sz w:val="2"/>
        <w:szCs w:val="2"/>
      </w:rPr>
    </w:pPr>
    <w:r w:rsidRPr="009512D6">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DD49C-AEB2-47E9-92AF-C28BD610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2621</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467</cp:revision>
  <cp:lastPrinted>2009-02-06T05:36:00Z</cp:lastPrinted>
  <dcterms:created xsi:type="dcterms:W3CDTF">2020-11-12T19:39:00Z</dcterms:created>
  <dcterms:modified xsi:type="dcterms:W3CDTF">2020-11-26T21:44:00Z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