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0945" w14:textId="77777777" w:rsidR="004145C5" w:rsidRDefault="004145C5" w:rsidP="004145C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Засыпкина, </w:t>
      </w:r>
      <w:proofErr w:type="spellStart"/>
      <w:r>
        <w:rPr>
          <w:rFonts w:ascii="Arial" w:hAnsi="Arial" w:cs="Arial"/>
          <w:color w:val="646B71"/>
          <w:sz w:val="18"/>
          <w:szCs w:val="18"/>
        </w:rPr>
        <w:t>Ляйсэн</w:t>
      </w:r>
      <w:proofErr w:type="spellEnd"/>
      <w:r>
        <w:rPr>
          <w:rFonts w:ascii="Arial" w:hAnsi="Arial" w:cs="Arial"/>
          <w:color w:val="646B71"/>
          <w:sz w:val="18"/>
          <w:szCs w:val="18"/>
        </w:rPr>
        <w:t xml:space="preserve"> </w:t>
      </w:r>
      <w:proofErr w:type="spellStart"/>
      <w:r>
        <w:rPr>
          <w:rFonts w:ascii="Arial" w:hAnsi="Arial" w:cs="Arial"/>
          <w:color w:val="646B71"/>
          <w:sz w:val="18"/>
          <w:szCs w:val="18"/>
        </w:rPr>
        <w:t>Ривкатовна</w:t>
      </w:r>
      <w:proofErr w:type="spellEnd"/>
    </w:p>
    <w:p w14:paraId="48CA5922"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CA489E"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Социокультурный анализ в контексте историко-политического дискурса</w:t>
      </w:r>
    </w:p>
    <w:p w14:paraId="0C509205"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Городская культурная среда: методологическая рамка социокультурного анализа</w:t>
      </w:r>
    </w:p>
    <w:p w14:paraId="09FE7B46"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Политические процессы в России конца XX века как объект социокультурного анализа</w:t>
      </w:r>
    </w:p>
    <w:p w14:paraId="02CBDB6A"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Образование как основная детерминанта городской социокультурной среды</w:t>
      </w:r>
    </w:p>
    <w:p w14:paraId="61AD20B6"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тенденции в развитии российского института образования в конце XX века</w:t>
      </w:r>
    </w:p>
    <w:p w14:paraId="49CCD098"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Учреждения образования как элемент городской культурной среды</w:t>
      </w:r>
    </w:p>
    <w:p w14:paraId="516B25F8"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spellStart"/>
      <w:r>
        <w:rPr>
          <w:rFonts w:ascii="Arial" w:hAnsi="Arial" w:cs="Arial"/>
          <w:color w:val="333333"/>
          <w:sz w:val="21"/>
          <w:szCs w:val="21"/>
        </w:rPr>
        <w:t>З.Роль</w:t>
      </w:r>
      <w:proofErr w:type="spellEnd"/>
      <w:r>
        <w:rPr>
          <w:rFonts w:ascii="Arial" w:hAnsi="Arial" w:cs="Arial"/>
          <w:color w:val="333333"/>
          <w:sz w:val="21"/>
          <w:szCs w:val="21"/>
        </w:rPr>
        <w:t xml:space="preserve"> городских учреждений культуры в формировании социокультурного пространства</w:t>
      </w:r>
    </w:p>
    <w:p w14:paraId="169C7144"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Культурно-просветительные учреждения как элемент городской культурной среды</w:t>
      </w:r>
    </w:p>
    <w:p w14:paraId="0AB1ECD6" w14:textId="77777777" w:rsidR="004145C5" w:rsidRDefault="004145C5" w:rsidP="004145C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Театр как социокультурный феномен в городской среде Заключение</w:t>
      </w:r>
    </w:p>
    <w:p w14:paraId="40294F55" w14:textId="39605C02" w:rsidR="00050BAD" w:rsidRPr="004145C5" w:rsidRDefault="00050BAD" w:rsidP="004145C5"/>
    <w:sectPr w:rsidR="00050BAD" w:rsidRPr="004145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E92C" w14:textId="77777777" w:rsidR="002066F6" w:rsidRDefault="002066F6">
      <w:pPr>
        <w:spacing w:after="0" w:line="240" w:lineRule="auto"/>
      </w:pPr>
      <w:r>
        <w:separator/>
      </w:r>
    </w:p>
  </w:endnote>
  <w:endnote w:type="continuationSeparator" w:id="0">
    <w:p w14:paraId="5D7B1230" w14:textId="77777777" w:rsidR="002066F6" w:rsidRDefault="0020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2DDA" w14:textId="77777777" w:rsidR="002066F6" w:rsidRDefault="002066F6"/>
    <w:p w14:paraId="05BAE54E" w14:textId="77777777" w:rsidR="002066F6" w:rsidRDefault="002066F6"/>
    <w:p w14:paraId="6DFBA465" w14:textId="77777777" w:rsidR="002066F6" w:rsidRDefault="002066F6"/>
    <w:p w14:paraId="69DEA655" w14:textId="77777777" w:rsidR="002066F6" w:rsidRDefault="002066F6"/>
    <w:p w14:paraId="1D9FFD99" w14:textId="77777777" w:rsidR="002066F6" w:rsidRDefault="002066F6"/>
    <w:p w14:paraId="1DD08D95" w14:textId="77777777" w:rsidR="002066F6" w:rsidRDefault="002066F6"/>
    <w:p w14:paraId="64D44D0A" w14:textId="77777777" w:rsidR="002066F6" w:rsidRDefault="002066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BDF16" wp14:editId="7F5A05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9599E" w14:textId="77777777" w:rsidR="002066F6" w:rsidRDefault="00206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BDF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B9599E" w14:textId="77777777" w:rsidR="002066F6" w:rsidRDefault="00206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9C7683" w14:textId="77777777" w:rsidR="002066F6" w:rsidRDefault="002066F6"/>
    <w:p w14:paraId="707B5F6C" w14:textId="77777777" w:rsidR="002066F6" w:rsidRDefault="002066F6"/>
    <w:p w14:paraId="48089849" w14:textId="77777777" w:rsidR="002066F6" w:rsidRDefault="002066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5029D" wp14:editId="78C210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E994C" w14:textId="77777777" w:rsidR="002066F6" w:rsidRDefault="002066F6"/>
                          <w:p w14:paraId="412BCE8D" w14:textId="77777777" w:rsidR="002066F6" w:rsidRDefault="00206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502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E994C" w14:textId="77777777" w:rsidR="002066F6" w:rsidRDefault="002066F6"/>
                    <w:p w14:paraId="412BCE8D" w14:textId="77777777" w:rsidR="002066F6" w:rsidRDefault="00206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711A6" w14:textId="77777777" w:rsidR="002066F6" w:rsidRDefault="002066F6"/>
    <w:p w14:paraId="4BFCBAB6" w14:textId="77777777" w:rsidR="002066F6" w:rsidRDefault="002066F6">
      <w:pPr>
        <w:rPr>
          <w:sz w:val="2"/>
          <w:szCs w:val="2"/>
        </w:rPr>
      </w:pPr>
    </w:p>
    <w:p w14:paraId="3993B4CE" w14:textId="77777777" w:rsidR="002066F6" w:rsidRDefault="002066F6"/>
    <w:p w14:paraId="728C10C2" w14:textId="77777777" w:rsidR="002066F6" w:rsidRDefault="002066F6">
      <w:pPr>
        <w:spacing w:after="0" w:line="240" w:lineRule="auto"/>
      </w:pPr>
    </w:p>
  </w:footnote>
  <w:footnote w:type="continuationSeparator" w:id="0">
    <w:p w14:paraId="36244A47" w14:textId="77777777" w:rsidR="002066F6" w:rsidRDefault="0020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6F6"/>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82624</TotalTime>
  <Pages>1</Pages>
  <Words>119</Words>
  <Characters>680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3007</cp:revision>
  <cp:lastPrinted>2009-02-06T05:36:00Z</cp:lastPrinted>
  <dcterms:created xsi:type="dcterms:W3CDTF">2024-01-07T13:43:00Z</dcterms:created>
  <dcterms:modified xsi:type="dcterms:W3CDTF">2025-04-28T11:35:00Z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