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C37E" w14:textId="48C0CBEF" w:rsidR="00C8454E" w:rsidRPr="00C1511C" w:rsidRDefault="00C1511C" w:rsidP="00C1511C">
      <w:r>
        <w:rPr>
          <w:rFonts w:ascii="Verdana" w:hAnsi="Verdana"/>
          <w:b/>
          <w:bCs/>
          <w:color w:val="000000"/>
          <w:shd w:val="clear" w:color="auto" w:fill="FFFFFF"/>
        </w:rPr>
        <w:t>Степанюк Наталія Георгіївна. Ефективність вінборону при ерозивно-виразкових ушкодженнях гастродуоденальної зони (клініко-експериментальне дослідження): Дис... канд. мед. наук: 14.01.28 / Вінницький національний медичний ун-т ім. М.І.Пирогова. - Вінниця, 2002. - 184 арк. , табл. - Бібліогр.: арк. 153-184.</w:t>
      </w:r>
    </w:p>
    <w:sectPr w:rsidR="00C8454E" w:rsidRPr="00C1511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DACA" w14:textId="77777777" w:rsidR="004B520A" w:rsidRDefault="004B520A">
      <w:pPr>
        <w:spacing w:after="0" w:line="240" w:lineRule="auto"/>
      </w:pPr>
      <w:r>
        <w:separator/>
      </w:r>
    </w:p>
  </w:endnote>
  <w:endnote w:type="continuationSeparator" w:id="0">
    <w:p w14:paraId="7D12C222" w14:textId="77777777" w:rsidR="004B520A" w:rsidRDefault="004B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C271F" w14:textId="77777777" w:rsidR="004B520A" w:rsidRDefault="004B520A">
      <w:pPr>
        <w:spacing w:after="0" w:line="240" w:lineRule="auto"/>
      </w:pPr>
      <w:r>
        <w:separator/>
      </w:r>
    </w:p>
  </w:footnote>
  <w:footnote w:type="continuationSeparator" w:id="0">
    <w:p w14:paraId="4721240E" w14:textId="77777777" w:rsidR="004B520A" w:rsidRDefault="004B5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52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0A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123476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4753</cp:revision>
  <dcterms:created xsi:type="dcterms:W3CDTF">2024-06-20T08:51:00Z</dcterms:created>
  <dcterms:modified xsi:type="dcterms:W3CDTF">2025-01-20T16:14:00Z</dcterms:modified>
  <cp:category/>
</cp:coreProperties>
</file>