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D38F" w14:textId="7A8D974E" w:rsidR="009A7E12" w:rsidRDefault="0007524C" w:rsidP="000752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Донченко Юрій Володимирович. Застава як запобіжний захід в кримінальному процесі України: дисертація канд. юрид. наук: 12.00.09 / Київський національний ун-т ім. Тараса Шевченка. - К., 2003</w:t>
      </w:r>
    </w:p>
    <w:p w14:paraId="1F148A89" w14:textId="77777777" w:rsidR="0007524C" w:rsidRPr="0007524C" w:rsidRDefault="0007524C" w:rsidP="000752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5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Застава як запобіжний захід в кримінальному процесі України. – Рукопис.</w:t>
      </w:r>
    </w:p>
    <w:p w14:paraId="721375BE" w14:textId="77777777" w:rsidR="0007524C" w:rsidRPr="0007524C" w:rsidRDefault="0007524C" w:rsidP="000752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524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– Київський національний університет імені Тараса Шевченка, Київ, 2003.</w:t>
      </w:r>
    </w:p>
    <w:p w14:paraId="6F990144" w14:textId="77777777" w:rsidR="0007524C" w:rsidRPr="0007524C" w:rsidRDefault="0007524C" w:rsidP="000752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524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актуальні проблеми застосування запобіжного заходу у вигляді застави у кримінальному процесі України.</w:t>
      </w:r>
    </w:p>
    <w:p w14:paraId="5BD288A9" w14:textId="77777777" w:rsidR="0007524C" w:rsidRPr="0007524C" w:rsidRDefault="0007524C" w:rsidP="000752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524C">
        <w:rPr>
          <w:rFonts w:ascii="Times New Roman" w:eastAsia="Times New Roman" w:hAnsi="Times New Roman" w:cs="Times New Roman"/>
          <w:color w:val="000000"/>
          <w:sz w:val="27"/>
          <w:szCs w:val="27"/>
        </w:rPr>
        <w:t>У межах теоретичного аспекту роботи проаналізовано поняття “засоби процесуального примусу”, з’ясовано їх теоретичне та практичне значення; досліджено взаємодію, місце і роль запобіжних заходів, у тому числі і застави, у системі заходів кримінально-процесуального примусу. Вказані об’єкти розглядалися у якісно новому ракурсі пріоритету прав людини, з врахуванням норм міжнародного гуманітарного права.</w:t>
      </w:r>
    </w:p>
    <w:p w14:paraId="36D19815" w14:textId="77777777" w:rsidR="0007524C" w:rsidRPr="0007524C" w:rsidRDefault="0007524C" w:rsidP="000752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524C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подолання проблем практики з’ясовано форму предмету застави; наведено підходи щодо визначення розміру майна, яке підлягає заставі; встановлено коло потенційних заставодавців та окреслено їх процесуальний статус. Розроблено рекомендації щодо застосування, зміни чи скасування застави, процесуального оформлення цих дій слідчого, судді.</w:t>
      </w:r>
    </w:p>
    <w:p w14:paraId="21C42B8E" w14:textId="77777777" w:rsidR="0007524C" w:rsidRPr="0007524C" w:rsidRDefault="0007524C" w:rsidP="000752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524C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Сформульовано пропозиції щодо удосконалення законодавства та практики застосування застави у кримінальному процесі</w:t>
      </w:r>
    </w:p>
    <w:p w14:paraId="24F28685" w14:textId="77777777" w:rsidR="0007524C" w:rsidRPr="0007524C" w:rsidRDefault="0007524C" w:rsidP="0007524C"/>
    <w:sectPr w:rsidR="0007524C" w:rsidRPr="000752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040C" w14:textId="77777777" w:rsidR="006852E8" w:rsidRDefault="006852E8">
      <w:pPr>
        <w:spacing w:after="0" w:line="240" w:lineRule="auto"/>
      </w:pPr>
      <w:r>
        <w:separator/>
      </w:r>
    </w:p>
  </w:endnote>
  <w:endnote w:type="continuationSeparator" w:id="0">
    <w:p w14:paraId="515E3C0F" w14:textId="77777777" w:rsidR="006852E8" w:rsidRDefault="0068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78C8" w14:textId="77777777" w:rsidR="006852E8" w:rsidRDefault="006852E8">
      <w:pPr>
        <w:spacing w:after="0" w:line="240" w:lineRule="auto"/>
      </w:pPr>
      <w:r>
        <w:separator/>
      </w:r>
    </w:p>
  </w:footnote>
  <w:footnote w:type="continuationSeparator" w:id="0">
    <w:p w14:paraId="1082F42E" w14:textId="77777777" w:rsidR="006852E8" w:rsidRDefault="0068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52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2E8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8436</cp:revision>
  <dcterms:created xsi:type="dcterms:W3CDTF">2024-06-20T08:51:00Z</dcterms:created>
  <dcterms:modified xsi:type="dcterms:W3CDTF">2024-08-01T19:31:00Z</dcterms:modified>
  <cp:category/>
</cp:coreProperties>
</file>