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0DF0" w14:textId="77777777" w:rsidR="0016277A" w:rsidRPr="0016277A" w:rsidRDefault="0016277A" w:rsidP="0016277A">
      <w:pPr>
        <w:rPr>
          <w:rStyle w:val="21"/>
          <w:color w:val="000000"/>
        </w:rPr>
      </w:pPr>
      <w:proofErr w:type="spellStart"/>
      <w:r w:rsidRPr="0016277A">
        <w:rPr>
          <w:rStyle w:val="21"/>
          <w:color w:val="000000"/>
        </w:rPr>
        <w:t>Гиззатуллина</w:t>
      </w:r>
      <w:proofErr w:type="spellEnd"/>
      <w:r w:rsidRPr="0016277A">
        <w:rPr>
          <w:rStyle w:val="21"/>
          <w:color w:val="000000"/>
        </w:rPr>
        <w:t xml:space="preserve"> Фирюза </w:t>
      </w:r>
      <w:proofErr w:type="spellStart"/>
      <w:r w:rsidRPr="0016277A">
        <w:rPr>
          <w:rStyle w:val="21"/>
          <w:color w:val="000000"/>
        </w:rPr>
        <w:t>Валяровна</w:t>
      </w:r>
      <w:proofErr w:type="spellEnd"/>
      <w:r w:rsidRPr="0016277A">
        <w:rPr>
          <w:rStyle w:val="21"/>
          <w:color w:val="000000"/>
        </w:rPr>
        <w:t xml:space="preserve">. Ранняя диагностика, лечение и профилактика суставной формы трансверсальной аномалии окклюзии у детей: диссертация ... кандидата медицинских наук: 14.01.14 / </w:t>
      </w:r>
      <w:proofErr w:type="spellStart"/>
      <w:r w:rsidRPr="0016277A">
        <w:rPr>
          <w:rStyle w:val="21"/>
          <w:color w:val="000000"/>
        </w:rPr>
        <w:t>Гиззатуллина</w:t>
      </w:r>
      <w:proofErr w:type="spellEnd"/>
      <w:r w:rsidRPr="0016277A">
        <w:rPr>
          <w:rStyle w:val="21"/>
          <w:color w:val="000000"/>
        </w:rPr>
        <w:t xml:space="preserve"> Фирюза </w:t>
      </w:r>
      <w:proofErr w:type="spellStart"/>
      <w:proofErr w:type="gramStart"/>
      <w:r w:rsidRPr="0016277A">
        <w:rPr>
          <w:rStyle w:val="21"/>
          <w:color w:val="000000"/>
        </w:rPr>
        <w:t>Валяровна</w:t>
      </w:r>
      <w:proofErr w:type="spellEnd"/>
      <w:r w:rsidRPr="0016277A">
        <w:rPr>
          <w:rStyle w:val="21"/>
          <w:color w:val="000000"/>
        </w:rPr>
        <w:t>;[</w:t>
      </w:r>
      <w:proofErr w:type="gramEnd"/>
      <w:r w:rsidRPr="0016277A">
        <w:rPr>
          <w:rStyle w:val="21"/>
          <w:color w:val="000000"/>
        </w:rPr>
        <w:t>Место защиты: Башкирский государственный медицинский университет], 2014.- 161 с.</w:t>
      </w:r>
    </w:p>
    <w:p w14:paraId="12649FD5" w14:textId="77777777" w:rsidR="0016277A" w:rsidRPr="0016277A" w:rsidRDefault="0016277A" w:rsidP="0016277A">
      <w:pPr>
        <w:rPr>
          <w:rStyle w:val="21"/>
          <w:color w:val="000000"/>
        </w:rPr>
      </w:pPr>
    </w:p>
    <w:p w14:paraId="39547A95" w14:textId="77777777" w:rsidR="0016277A" w:rsidRPr="0016277A" w:rsidRDefault="0016277A" w:rsidP="0016277A">
      <w:pPr>
        <w:rPr>
          <w:rStyle w:val="21"/>
          <w:color w:val="000000"/>
        </w:rPr>
      </w:pPr>
    </w:p>
    <w:p w14:paraId="78EF758D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31.12.2014 414123170024</w:t>
      </w:r>
    </w:p>
    <w:p w14:paraId="157D90BF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ГОСУДАРСТВЕННОЕ БЮДЖЕТНОЕ ОБРАЗОВАТЕЛЬНОЕ УЧРЕЖДЕНИЕ ВЫСШЕГО</w:t>
      </w:r>
    </w:p>
    <w:p w14:paraId="0D269FDE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ПРОФЕССИОНАЛЬНОГО ОБРАЗОВАНИЯ</w:t>
      </w:r>
    </w:p>
    <w:p w14:paraId="1DCFCF22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БАШКИРСКИЙ ГОСУДАРСТВЕННЫЙ МЕДИЦИНСКИЙ УНИВЕРСИТЕТ</w:t>
      </w:r>
    </w:p>
    <w:p w14:paraId="484A09C4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МИНИСТЕРСТВА ЗДРАВООХРАНЕНИЯ РОССИЙСКОЙ ФЕДЕРАЦИИ</w:t>
      </w:r>
    </w:p>
    <w:p w14:paraId="5B6589CE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На правах рукописи</w:t>
      </w:r>
    </w:p>
    <w:p w14:paraId="6164895D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ГИЗЗАТУЛЛИНА ФИРЮЗА ВАЛЯРОВНА</w:t>
      </w:r>
    </w:p>
    <w:p w14:paraId="68F69358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РАННЯЯ ДИАГНОСТИКА, ЛЕЧЕНИЕ И ПРОФИЛАКТИКА СУСТАВНОЙ ФОРМЫ ТРАНСВЕРСАЛЬНОЙ АНОМАЛИИ</w:t>
      </w:r>
    </w:p>
    <w:p w14:paraId="567F79A6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ОККЛЮЗИИ У ДЕТЕЙ</w:t>
      </w:r>
    </w:p>
    <w:p w14:paraId="736AB79C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14.01.14- стоматология</w:t>
      </w:r>
    </w:p>
    <w:p w14:paraId="6012C17F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Диссертация</w:t>
      </w:r>
    </w:p>
    <w:p w14:paraId="4A961FA5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на соискание ученой степени кандидата медицинских наук</w:t>
      </w:r>
    </w:p>
    <w:p w14:paraId="7C48D61A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 xml:space="preserve">Научный руководитель: доктор медицинских наук, профессор Маннанова Флора </w:t>
      </w:r>
      <w:proofErr w:type="spellStart"/>
      <w:r w:rsidRPr="0016277A">
        <w:rPr>
          <w:rStyle w:val="21"/>
          <w:color w:val="000000"/>
        </w:rPr>
        <w:t>Фатыховна</w:t>
      </w:r>
      <w:proofErr w:type="spellEnd"/>
    </w:p>
    <w:p w14:paraId="114AA97F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 xml:space="preserve">УФА-2014 </w:t>
      </w:r>
    </w:p>
    <w:p w14:paraId="78551EF6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ОГЛАВЛЕНИЕ</w:t>
      </w:r>
    </w:p>
    <w:p w14:paraId="7491BB8D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СПИСОК СОКРАЩЕНИЙ</w:t>
      </w:r>
      <w:r w:rsidRPr="0016277A">
        <w:rPr>
          <w:rStyle w:val="21"/>
          <w:color w:val="000000"/>
        </w:rPr>
        <w:tab/>
        <w:t xml:space="preserve"> 5</w:t>
      </w:r>
    </w:p>
    <w:p w14:paraId="15D4F78D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ВВЕДЕНИЕ</w:t>
      </w:r>
      <w:r w:rsidRPr="0016277A">
        <w:rPr>
          <w:rStyle w:val="21"/>
          <w:color w:val="000000"/>
        </w:rPr>
        <w:tab/>
        <w:t xml:space="preserve"> 6</w:t>
      </w:r>
    </w:p>
    <w:p w14:paraId="2629A248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ГЛАВА 1. РАСПРОСТРАНЕННОСТЬ, ЭТИОЛОГИЯ,</w:t>
      </w:r>
    </w:p>
    <w:p w14:paraId="264377A1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ДИАГНОСТИКА, КЛИНИКА И КОМПЛЕКСНОЕ ЛЕЧЕНИЕ</w:t>
      </w:r>
    </w:p>
    <w:p w14:paraId="05511C4E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СУСТАВНОЙ ФОРМЫ ТРАНСВЕРСАЛЬНОЙ АНОМАЛИИ</w:t>
      </w:r>
    </w:p>
    <w:p w14:paraId="13B79463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ОККЛЮЗИИ У ДЕТЕЙ (обзор литературы)</w:t>
      </w:r>
      <w:r w:rsidRPr="0016277A">
        <w:rPr>
          <w:rStyle w:val="21"/>
          <w:color w:val="000000"/>
        </w:rPr>
        <w:tab/>
        <w:t xml:space="preserve"> 14</w:t>
      </w:r>
    </w:p>
    <w:p w14:paraId="04C44859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1.1.</w:t>
      </w:r>
      <w:r w:rsidRPr="0016277A">
        <w:rPr>
          <w:rStyle w:val="21"/>
          <w:color w:val="000000"/>
        </w:rPr>
        <w:tab/>
        <w:t>Распространенность, классификации, этиология</w:t>
      </w:r>
    </w:p>
    <w:p w14:paraId="79184283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трансверсальной аномалии окклюзии</w:t>
      </w:r>
      <w:r w:rsidRPr="0016277A">
        <w:rPr>
          <w:rStyle w:val="21"/>
          <w:color w:val="000000"/>
        </w:rPr>
        <w:tab/>
        <w:t xml:space="preserve"> 14</w:t>
      </w:r>
    </w:p>
    <w:p w14:paraId="32BCA708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lastRenderedPageBreak/>
        <w:t>1.2.</w:t>
      </w:r>
      <w:r w:rsidRPr="0016277A">
        <w:rPr>
          <w:rStyle w:val="21"/>
          <w:color w:val="000000"/>
        </w:rPr>
        <w:tab/>
        <w:t>Диагностика трансверсальной аномалии окклюзии</w:t>
      </w:r>
      <w:r w:rsidRPr="0016277A">
        <w:rPr>
          <w:rStyle w:val="21"/>
          <w:color w:val="000000"/>
        </w:rPr>
        <w:tab/>
      </w:r>
      <w:r w:rsidRPr="0016277A">
        <w:rPr>
          <w:rStyle w:val="21"/>
          <w:color w:val="000000"/>
        </w:rPr>
        <w:tab/>
        <w:t>20</w:t>
      </w:r>
    </w:p>
    <w:p w14:paraId="0A60B919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1.2.1.</w:t>
      </w:r>
      <w:r w:rsidRPr="0016277A">
        <w:rPr>
          <w:rStyle w:val="21"/>
          <w:color w:val="000000"/>
        </w:rPr>
        <w:tab/>
        <w:t>Клинические и антропометрические методы</w:t>
      </w:r>
      <w:r w:rsidRPr="0016277A">
        <w:rPr>
          <w:rStyle w:val="21"/>
          <w:color w:val="000000"/>
        </w:rPr>
        <w:tab/>
        <w:t xml:space="preserve"> 20</w:t>
      </w:r>
    </w:p>
    <w:p w14:paraId="3BA9A9BB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1.2.2.</w:t>
      </w:r>
      <w:r w:rsidRPr="0016277A">
        <w:rPr>
          <w:rStyle w:val="21"/>
          <w:color w:val="000000"/>
        </w:rPr>
        <w:tab/>
      </w:r>
      <w:proofErr w:type="spellStart"/>
      <w:r w:rsidRPr="0016277A">
        <w:rPr>
          <w:rStyle w:val="21"/>
          <w:color w:val="000000"/>
        </w:rPr>
        <w:t>Телерентгенография</w:t>
      </w:r>
      <w:proofErr w:type="spellEnd"/>
      <w:r w:rsidRPr="0016277A">
        <w:rPr>
          <w:rStyle w:val="21"/>
          <w:color w:val="000000"/>
        </w:rPr>
        <w:t xml:space="preserve"> при трансверсальной аномалии</w:t>
      </w:r>
    </w:p>
    <w:p w14:paraId="76E146DE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окклюзии</w:t>
      </w:r>
      <w:r w:rsidRPr="0016277A">
        <w:rPr>
          <w:rStyle w:val="21"/>
          <w:color w:val="000000"/>
        </w:rPr>
        <w:tab/>
        <w:t xml:space="preserve"> 25</w:t>
      </w:r>
    </w:p>
    <w:p w14:paraId="3B68ADFB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1.2.3.</w:t>
      </w:r>
      <w:r w:rsidRPr="0016277A">
        <w:rPr>
          <w:rStyle w:val="21"/>
          <w:color w:val="000000"/>
        </w:rPr>
        <w:tab/>
        <w:t>Функциональные методы диагностики при</w:t>
      </w:r>
    </w:p>
    <w:p w14:paraId="39E74F6D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трансверсальной аномалии окклюзии</w:t>
      </w:r>
      <w:r w:rsidRPr="0016277A">
        <w:rPr>
          <w:rStyle w:val="21"/>
          <w:color w:val="000000"/>
        </w:rPr>
        <w:tab/>
        <w:t>^</w:t>
      </w:r>
      <w:r w:rsidRPr="0016277A">
        <w:rPr>
          <w:rStyle w:val="21"/>
          <w:color w:val="000000"/>
        </w:rPr>
        <w:tab/>
        <w:t>28</w:t>
      </w:r>
    </w:p>
    <w:p w14:paraId="79DEC8E2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1.3.</w:t>
      </w:r>
      <w:r w:rsidRPr="0016277A">
        <w:rPr>
          <w:rStyle w:val="21"/>
          <w:color w:val="000000"/>
        </w:rPr>
        <w:tab/>
        <w:t>Методы лечения трансверсальной аномалии окклюзии в</w:t>
      </w:r>
    </w:p>
    <w:p w14:paraId="72CD8075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возрастном аспекте</w:t>
      </w:r>
      <w:r w:rsidRPr="0016277A">
        <w:rPr>
          <w:rStyle w:val="21"/>
          <w:color w:val="000000"/>
        </w:rPr>
        <w:tab/>
        <w:t xml:space="preserve"> 32</w:t>
      </w:r>
    </w:p>
    <w:p w14:paraId="50C5FA2B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ГЛАВА 2. МАТЕРИАЛ И МЕТОДЫ ИССЛЕДОВАНИЯ</w:t>
      </w:r>
      <w:r w:rsidRPr="0016277A">
        <w:rPr>
          <w:rStyle w:val="21"/>
          <w:color w:val="000000"/>
        </w:rPr>
        <w:tab/>
        <w:t xml:space="preserve"> 36</w:t>
      </w:r>
    </w:p>
    <w:p w14:paraId="561B3297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2.1.</w:t>
      </w:r>
      <w:r w:rsidRPr="0016277A">
        <w:rPr>
          <w:rStyle w:val="21"/>
          <w:color w:val="000000"/>
        </w:rPr>
        <w:tab/>
        <w:t>Материал исследования</w:t>
      </w:r>
      <w:r w:rsidRPr="0016277A">
        <w:rPr>
          <w:rStyle w:val="21"/>
          <w:color w:val="000000"/>
        </w:rPr>
        <w:tab/>
        <w:t xml:space="preserve"> 36</w:t>
      </w:r>
    </w:p>
    <w:p w14:paraId="6C70A511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2.2.</w:t>
      </w:r>
      <w:r w:rsidRPr="0016277A">
        <w:rPr>
          <w:rStyle w:val="21"/>
          <w:color w:val="000000"/>
        </w:rPr>
        <w:tab/>
        <w:t>Методы исследования</w:t>
      </w:r>
      <w:r w:rsidRPr="0016277A">
        <w:rPr>
          <w:rStyle w:val="21"/>
          <w:color w:val="000000"/>
        </w:rPr>
        <w:tab/>
        <w:t xml:space="preserve"> 38</w:t>
      </w:r>
    </w:p>
    <w:p w14:paraId="387971B1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2.2.1.</w:t>
      </w:r>
      <w:r w:rsidRPr="0016277A">
        <w:rPr>
          <w:rStyle w:val="21"/>
          <w:color w:val="000000"/>
        </w:rPr>
        <w:tab/>
        <w:t>Клинические методы</w:t>
      </w:r>
      <w:r w:rsidRPr="0016277A">
        <w:rPr>
          <w:rStyle w:val="21"/>
          <w:color w:val="000000"/>
        </w:rPr>
        <w:tab/>
        <w:t xml:space="preserve"> 38</w:t>
      </w:r>
    </w:p>
    <w:p w14:paraId="260B5829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2.2.2.</w:t>
      </w:r>
      <w:r w:rsidRPr="0016277A">
        <w:rPr>
          <w:rStyle w:val="21"/>
          <w:color w:val="000000"/>
        </w:rPr>
        <w:tab/>
        <w:t>Антропометрический метод</w:t>
      </w:r>
      <w:r w:rsidRPr="0016277A">
        <w:rPr>
          <w:rStyle w:val="21"/>
          <w:color w:val="000000"/>
        </w:rPr>
        <w:tab/>
        <w:t xml:space="preserve"> 42</w:t>
      </w:r>
    </w:p>
    <w:p w14:paraId="1C41F3F7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2.2.2.1.</w:t>
      </w:r>
      <w:r w:rsidRPr="0016277A">
        <w:rPr>
          <w:rStyle w:val="21"/>
          <w:color w:val="000000"/>
        </w:rPr>
        <w:tab/>
        <w:t>Основные антропометрические методы, примененные</w:t>
      </w:r>
      <w:r w:rsidRPr="0016277A">
        <w:rPr>
          <w:rStyle w:val="21"/>
          <w:color w:val="000000"/>
        </w:rPr>
        <w:tab/>
        <w:t>для</w:t>
      </w:r>
    </w:p>
    <w:p w14:paraId="293900C1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диагностики разновидностей трансверсальной аномалии окклюзии</w:t>
      </w:r>
      <w:r w:rsidRPr="0016277A">
        <w:rPr>
          <w:rStyle w:val="21"/>
          <w:color w:val="000000"/>
        </w:rPr>
        <w:tab/>
        <w:t xml:space="preserve"> 42</w:t>
      </w:r>
    </w:p>
    <w:p w14:paraId="0ADEC488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2.2.2.2.</w:t>
      </w:r>
      <w:r w:rsidRPr="0016277A">
        <w:rPr>
          <w:rStyle w:val="21"/>
          <w:color w:val="000000"/>
        </w:rPr>
        <w:tab/>
        <w:t>Усовершенствованные собственные антропометрические</w:t>
      </w:r>
    </w:p>
    <w:p w14:paraId="1F2655C6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методы исследования лица</w:t>
      </w:r>
      <w:r w:rsidRPr="0016277A">
        <w:rPr>
          <w:rStyle w:val="21"/>
          <w:color w:val="000000"/>
        </w:rPr>
        <w:tab/>
        <w:t xml:space="preserve"> 44</w:t>
      </w:r>
    </w:p>
    <w:p w14:paraId="1CB54188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2.2.3.</w:t>
      </w:r>
      <w:r w:rsidRPr="0016277A">
        <w:rPr>
          <w:rStyle w:val="21"/>
          <w:color w:val="000000"/>
        </w:rPr>
        <w:tab/>
        <w:t>Биометрические методы изучения моделей челюстей</w:t>
      </w:r>
      <w:r w:rsidRPr="0016277A">
        <w:rPr>
          <w:rStyle w:val="21"/>
          <w:color w:val="000000"/>
        </w:rPr>
        <w:tab/>
      </w:r>
      <w:r w:rsidRPr="0016277A">
        <w:rPr>
          <w:rStyle w:val="21"/>
          <w:color w:val="000000"/>
        </w:rPr>
        <w:tab/>
        <w:t>47</w:t>
      </w:r>
    </w:p>
    <w:p w14:paraId="709FC583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2.2.4.</w:t>
      </w:r>
      <w:r w:rsidRPr="0016277A">
        <w:rPr>
          <w:rStyle w:val="21"/>
          <w:color w:val="000000"/>
        </w:rPr>
        <w:tab/>
        <w:t>Лучевые методы диагностики</w:t>
      </w:r>
      <w:r w:rsidRPr="0016277A">
        <w:rPr>
          <w:rStyle w:val="21"/>
          <w:color w:val="000000"/>
        </w:rPr>
        <w:tab/>
        <w:t xml:space="preserve"> 49 </w:t>
      </w:r>
    </w:p>
    <w:p w14:paraId="3C691AE4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3</w:t>
      </w:r>
    </w:p>
    <w:p w14:paraId="273970AD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Функциональные методы диагностики при</w:t>
      </w:r>
    </w:p>
    <w:p w14:paraId="61A45A23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трансверсальной аномалии окклюзии</w:t>
      </w:r>
      <w:r w:rsidRPr="0016277A">
        <w:rPr>
          <w:rStyle w:val="21"/>
          <w:color w:val="000000"/>
        </w:rPr>
        <w:tab/>
        <w:t xml:space="preserve"> 52</w:t>
      </w:r>
    </w:p>
    <w:p w14:paraId="7922E0E1" w14:textId="77777777" w:rsidR="0016277A" w:rsidRPr="0016277A" w:rsidRDefault="0016277A" w:rsidP="0016277A">
      <w:pPr>
        <w:rPr>
          <w:rStyle w:val="21"/>
          <w:color w:val="000000"/>
        </w:rPr>
      </w:pPr>
      <w:proofErr w:type="spellStart"/>
      <w:r w:rsidRPr="0016277A">
        <w:rPr>
          <w:rStyle w:val="21"/>
          <w:color w:val="000000"/>
        </w:rPr>
        <w:t>Окклюзография</w:t>
      </w:r>
      <w:proofErr w:type="spellEnd"/>
      <w:r w:rsidRPr="0016277A">
        <w:rPr>
          <w:rStyle w:val="21"/>
          <w:color w:val="000000"/>
        </w:rPr>
        <w:tab/>
        <w:t xml:space="preserve"> 52</w:t>
      </w:r>
    </w:p>
    <w:p w14:paraId="4A1A14B8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Электромиография жевательных мышц</w:t>
      </w:r>
      <w:r w:rsidRPr="0016277A">
        <w:rPr>
          <w:rStyle w:val="21"/>
          <w:color w:val="000000"/>
        </w:rPr>
        <w:tab/>
        <w:t xml:space="preserve"> 54</w:t>
      </w:r>
    </w:p>
    <w:p w14:paraId="6599AFC8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Методы лечения</w:t>
      </w:r>
      <w:r w:rsidRPr="0016277A">
        <w:rPr>
          <w:rStyle w:val="21"/>
          <w:color w:val="000000"/>
        </w:rPr>
        <w:tab/>
        <w:t xml:space="preserve"> 56</w:t>
      </w:r>
    </w:p>
    <w:p w14:paraId="53F97CCC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Статистические методы</w:t>
      </w:r>
      <w:r w:rsidRPr="0016277A">
        <w:rPr>
          <w:rStyle w:val="21"/>
          <w:color w:val="000000"/>
        </w:rPr>
        <w:tab/>
        <w:t xml:space="preserve"> 57</w:t>
      </w:r>
    </w:p>
    <w:p w14:paraId="25358297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РЕЗУЛЬТАТЫ СОБСТВЕННЫХ ИССЛЕДОВАНИЙ</w:t>
      </w:r>
      <w:r w:rsidRPr="0016277A">
        <w:rPr>
          <w:rStyle w:val="21"/>
          <w:color w:val="000000"/>
        </w:rPr>
        <w:tab/>
        <w:t>58</w:t>
      </w:r>
    </w:p>
    <w:p w14:paraId="10DFA497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Результаты клинических исследований</w:t>
      </w:r>
      <w:r w:rsidRPr="0016277A">
        <w:rPr>
          <w:rStyle w:val="21"/>
          <w:color w:val="000000"/>
        </w:rPr>
        <w:tab/>
        <w:t xml:space="preserve"> 58</w:t>
      </w:r>
    </w:p>
    <w:p w14:paraId="6EB9DE23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Частота встречаемости разновидностей трансверсальной аномалии окклюзии у детей</w:t>
      </w:r>
      <w:r w:rsidRPr="0016277A">
        <w:rPr>
          <w:rStyle w:val="21"/>
          <w:color w:val="000000"/>
        </w:rPr>
        <w:tab/>
        <w:t xml:space="preserve"> 58</w:t>
      </w:r>
    </w:p>
    <w:p w14:paraId="6B8BE823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lastRenderedPageBreak/>
        <w:t>Клинические формы трансверсальной аномалии окклюзии у детей в периоде прикуса смены зубов. Алгоритм обследования пациентов при трансверсальной аномалии</w:t>
      </w:r>
    </w:p>
    <w:p w14:paraId="715577A1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окклюзии и дифференциальной диагностики</w:t>
      </w:r>
    </w:p>
    <w:p w14:paraId="76DB517F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»</w:t>
      </w:r>
    </w:p>
    <w:p w14:paraId="56D278A3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разновидностей</w:t>
      </w:r>
      <w:r w:rsidRPr="0016277A">
        <w:rPr>
          <w:rStyle w:val="21"/>
          <w:color w:val="000000"/>
        </w:rPr>
        <w:tab/>
        <w:t xml:space="preserve"> 61</w:t>
      </w:r>
    </w:p>
    <w:p w14:paraId="636AD6A9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Результаты антропометрических и биометрических исследований. Инструментальный анализ окклюзии на</w:t>
      </w:r>
    </w:p>
    <w:p w14:paraId="14B9FC3F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гипсовых</w:t>
      </w:r>
      <w:r w:rsidRPr="0016277A">
        <w:rPr>
          <w:rStyle w:val="21"/>
          <w:color w:val="000000"/>
        </w:rPr>
        <w:tab/>
        <w:t>моделях</w:t>
      </w:r>
      <w:r w:rsidRPr="0016277A">
        <w:rPr>
          <w:rStyle w:val="21"/>
          <w:color w:val="000000"/>
        </w:rPr>
        <w:tab/>
        <w:t>челюстей</w:t>
      </w:r>
      <w:r w:rsidRPr="0016277A">
        <w:rPr>
          <w:rStyle w:val="21"/>
          <w:color w:val="000000"/>
        </w:rPr>
        <w:tab/>
        <w:t>в</w:t>
      </w:r>
    </w:p>
    <w:p w14:paraId="3E0EB11D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артикуляторе</w:t>
      </w:r>
      <w:r w:rsidRPr="0016277A">
        <w:rPr>
          <w:rStyle w:val="21"/>
          <w:color w:val="000000"/>
        </w:rPr>
        <w:tab/>
        <w:t xml:space="preserve"> 65</w:t>
      </w:r>
    </w:p>
    <w:p w14:paraId="54AD702A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Результаты рентгенологических исследований</w:t>
      </w:r>
      <w:r w:rsidRPr="0016277A">
        <w:rPr>
          <w:rStyle w:val="21"/>
          <w:color w:val="000000"/>
        </w:rPr>
        <w:tab/>
        <w:t xml:space="preserve"> 71</w:t>
      </w:r>
    </w:p>
    <w:p w14:paraId="1CB4D1CD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 xml:space="preserve">Результаты </w:t>
      </w:r>
      <w:proofErr w:type="spellStart"/>
      <w:r w:rsidRPr="0016277A">
        <w:rPr>
          <w:rStyle w:val="21"/>
          <w:color w:val="000000"/>
        </w:rPr>
        <w:t>электромиографических</w:t>
      </w:r>
      <w:proofErr w:type="spellEnd"/>
      <w:r w:rsidRPr="0016277A">
        <w:rPr>
          <w:rStyle w:val="21"/>
          <w:color w:val="000000"/>
        </w:rPr>
        <w:t xml:space="preserve"> исследований жевательных мышц у детей с суставной формой трансверсальной аномалии окклюзии в периоде прикуса</w:t>
      </w:r>
    </w:p>
    <w:p w14:paraId="5FE17771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 xml:space="preserve">смены зубов до </w:t>
      </w:r>
      <w:proofErr w:type="spellStart"/>
      <w:r w:rsidRPr="0016277A">
        <w:rPr>
          <w:rStyle w:val="21"/>
          <w:color w:val="000000"/>
        </w:rPr>
        <w:t>ортодонтического</w:t>
      </w:r>
      <w:proofErr w:type="spellEnd"/>
      <w:r w:rsidRPr="0016277A">
        <w:rPr>
          <w:rStyle w:val="21"/>
          <w:color w:val="000000"/>
        </w:rPr>
        <w:t xml:space="preserve"> лечения</w:t>
      </w:r>
      <w:r w:rsidRPr="0016277A">
        <w:rPr>
          <w:rStyle w:val="21"/>
          <w:color w:val="000000"/>
        </w:rPr>
        <w:tab/>
        <w:t xml:space="preserve"> 75</w:t>
      </w:r>
    </w:p>
    <w:p w14:paraId="67B01F50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Результаты лечения детей с суставной формой трансверсальной аномалии окклюзии в периоде прикуса</w:t>
      </w:r>
    </w:p>
    <w:p w14:paraId="6AAE242A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смены зубов</w:t>
      </w:r>
      <w:r w:rsidRPr="0016277A">
        <w:rPr>
          <w:rStyle w:val="21"/>
          <w:color w:val="000000"/>
        </w:rPr>
        <w:tab/>
        <w:t xml:space="preserve"> 83</w:t>
      </w:r>
    </w:p>
    <w:p w14:paraId="35AE52E0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 xml:space="preserve">Результаты </w:t>
      </w:r>
      <w:proofErr w:type="spellStart"/>
      <w:r w:rsidRPr="0016277A">
        <w:rPr>
          <w:rStyle w:val="21"/>
          <w:color w:val="000000"/>
        </w:rPr>
        <w:t>ортодонтического</w:t>
      </w:r>
      <w:proofErr w:type="spellEnd"/>
      <w:r w:rsidRPr="0016277A">
        <w:rPr>
          <w:rStyle w:val="21"/>
          <w:color w:val="000000"/>
        </w:rPr>
        <w:t xml:space="preserve"> лечения суставной формы трансверсальной аномалии окклюзии у детей с помощью 83 </w:t>
      </w:r>
    </w:p>
    <w:p w14:paraId="7BAE1943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аппаратов в периоде прикуса смены зубов</w:t>
      </w:r>
      <w:r w:rsidRPr="0016277A">
        <w:rPr>
          <w:rStyle w:val="21"/>
          <w:color w:val="000000"/>
        </w:rPr>
        <w:tab/>
      </w:r>
    </w:p>
    <w:p w14:paraId="610C20E4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3.2.2.</w:t>
      </w:r>
      <w:r w:rsidRPr="0016277A">
        <w:rPr>
          <w:rStyle w:val="21"/>
          <w:color w:val="000000"/>
        </w:rPr>
        <w:tab/>
        <w:t>Результаты</w:t>
      </w:r>
      <w:r w:rsidRPr="0016277A">
        <w:rPr>
          <w:rStyle w:val="21"/>
          <w:color w:val="000000"/>
        </w:rPr>
        <w:tab/>
        <w:t>дифференцированной нейромышечной</w:t>
      </w:r>
    </w:p>
    <w:p w14:paraId="2956A6EB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 xml:space="preserve">стимуляции в процессе </w:t>
      </w:r>
      <w:proofErr w:type="spellStart"/>
      <w:r w:rsidRPr="0016277A">
        <w:rPr>
          <w:rStyle w:val="21"/>
          <w:color w:val="000000"/>
        </w:rPr>
        <w:t>ортодонтического</w:t>
      </w:r>
      <w:proofErr w:type="spellEnd"/>
      <w:r w:rsidRPr="0016277A">
        <w:rPr>
          <w:rStyle w:val="21"/>
          <w:color w:val="000000"/>
        </w:rPr>
        <w:t xml:space="preserve"> лечения и </w:t>
      </w:r>
      <w:proofErr w:type="spellStart"/>
      <w:r w:rsidRPr="0016277A">
        <w:rPr>
          <w:rStyle w:val="21"/>
          <w:color w:val="000000"/>
        </w:rPr>
        <w:t>электромиографическая</w:t>
      </w:r>
      <w:proofErr w:type="spellEnd"/>
      <w:r w:rsidRPr="0016277A">
        <w:rPr>
          <w:rStyle w:val="21"/>
          <w:color w:val="000000"/>
        </w:rPr>
        <w:t xml:space="preserve"> оценка состояния жевательных мышц</w:t>
      </w:r>
      <w:r w:rsidRPr="0016277A">
        <w:rPr>
          <w:rStyle w:val="21"/>
          <w:color w:val="000000"/>
        </w:rPr>
        <w:tab/>
        <w:t xml:space="preserve"> 91</w:t>
      </w:r>
    </w:p>
    <w:p w14:paraId="7C4E41E9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3.2.3.</w:t>
      </w:r>
      <w:r w:rsidRPr="0016277A">
        <w:rPr>
          <w:rStyle w:val="21"/>
          <w:color w:val="000000"/>
        </w:rPr>
        <w:tab/>
        <w:t>Результаты</w:t>
      </w:r>
      <w:r w:rsidRPr="0016277A">
        <w:rPr>
          <w:rStyle w:val="21"/>
          <w:color w:val="000000"/>
        </w:rPr>
        <w:tab/>
        <w:t xml:space="preserve">компьютерной </w:t>
      </w:r>
      <w:proofErr w:type="spellStart"/>
      <w:r w:rsidRPr="0016277A">
        <w:rPr>
          <w:rStyle w:val="21"/>
          <w:color w:val="000000"/>
        </w:rPr>
        <w:t>окклюзиографии</w:t>
      </w:r>
      <w:proofErr w:type="spellEnd"/>
      <w:r w:rsidRPr="0016277A">
        <w:rPr>
          <w:rStyle w:val="21"/>
          <w:color w:val="000000"/>
        </w:rPr>
        <w:t xml:space="preserve"> после</w:t>
      </w:r>
    </w:p>
    <w:p w14:paraId="61437EDB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лечения</w:t>
      </w:r>
      <w:r w:rsidRPr="0016277A">
        <w:rPr>
          <w:rStyle w:val="21"/>
          <w:color w:val="000000"/>
        </w:rPr>
        <w:tab/>
        <w:t xml:space="preserve"> 100</w:t>
      </w:r>
    </w:p>
    <w:p w14:paraId="75667118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3.2.4.</w:t>
      </w:r>
      <w:r w:rsidRPr="0016277A">
        <w:rPr>
          <w:rStyle w:val="21"/>
          <w:color w:val="000000"/>
        </w:rPr>
        <w:tab/>
        <w:t xml:space="preserve">Особенности </w:t>
      </w:r>
      <w:proofErr w:type="spellStart"/>
      <w:r w:rsidRPr="0016277A">
        <w:rPr>
          <w:rStyle w:val="21"/>
          <w:color w:val="000000"/>
        </w:rPr>
        <w:t>ретенционного</w:t>
      </w:r>
      <w:proofErr w:type="spellEnd"/>
      <w:r w:rsidRPr="0016277A">
        <w:rPr>
          <w:rStyle w:val="21"/>
          <w:color w:val="000000"/>
        </w:rPr>
        <w:t xml:space="preserve"> периода после</w:t>
      </w:r>
    </w:p>
    <w:p w14:paraId="760DA83E" w14:textId="77777777" w:rsidR="0016277A" w:rsidRPr="0016277A" w:rsidRDefault="0016277A" w:rsidP="0016277A">
      <w:pPr>
        <w:rPr>
          <w:rStyle w:val="21"/>
          <w:color w:val="000000"/>
        </w:rPr>
      </w:pPr>
      <w:proofErr w:type="spellStart"/>
      <w:r w:rsidRPr="0016277A">
        <w:rPr>
          <w:rStyle w:val="21"/>
          <w:color w:val="000000"/>
        </w:rPr>
        <w:t>ортодонтического</w:t>
      </w:r>
      <w:proofErr w:type="spellEnd"/>
      <w:r w:rsidRPr="0016277A">
        <w:rPr>
          <w:rStyle w:val="21"/>
          <w:color w:val="000000"/>
        </w:rPr>
        <w:t xml:space="preserve"> лечения суставной формы трансверсальной аномалии окклюзии у детей в периоде прикуса смены зубов</w:t>
      </w:r>
      <w:r w:rsidRPr="0016277A">
        <w:rPr>
          <w:rStyle w:val="21"/>
          <w:color w:val="000000"/>
        </w:rPr>
        <w:tab/>
        <w:t xml:space="preserve"> 108</w:t>
      </w:r>
    </w:p>
    <w:p w14:paraId="04FC3C8D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3.3.</w:t>
      </w:r>
      <w:r w:rsidRPr="0016277A">
        <w:rPr>
          <w:rStyle w:val="21"/>
          <w:color w:val="000000"/>
        </w:rPr>
        <w:tab/>
        <w:t>Разработка алгоритма проведения ранних лечебных и</w:t>
      </w:r>
    </w:p>
    <w:p w14:paraId="5BABA199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профилактических мероприятий у детей в периоде прикуса смены зубов для предупреждения тяжелых форм трансверсальной аномалии окклюзии</w:t>
      </w:r>
      <w:r w:rsidRPr="0016277A">
        <w:rPr>
          <w:rStyle w:val="21"/>
          <w:color w:val="000000"/>
        </w:rPr>
        <w:tab/>
        <w:t xml:space="preserve"> 113</w:t>
      </w:r>
    </w:p>
    <w:p w14:paraId="62634325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3.3.1.</w:t>
      </w:r>
      <w:r w:rsidRPr="0016277A">
        <w:rPr>
          <w:rStyle w:val="21"/>
          <w:color w:val="000000"/>
        </w:rPr>
        <w:tab/>
        <w:t>Выявление и устранение ранних доклинических форм и</w:t>
      </w:r>
    </w:p>
    <w:p w14:paraId="1513D71C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факторов риска развития суставной формы трансверсальной аномалии окклюзии и их оценка</w:t>
      </w:r>
      <w:r w:rsidRPr="0016277A">
        <w:rPr>
          <w:rStyle w:val="21"/>
          <w:color w:val="000000"/>
        </w:rPr>
        <w:tab/>
        <w:t xml:space="preserve"> 113</w:t>
      </w:r>
    </w:p>
    <w:p w14:paraId="352FF988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lastRenderedPageBreak/>
        <w:t>3.3.2.</w:t>
      </w:r>
      <w:r w:rsidRPr="0016277A">
        <w:rPr>
          <w:rStyle w:val="21"/>
          <w:color w:val="000000"/>
        </w:rPr>
        <w:tab/>
        <w:t>Принципы</w:t>
      </w:r>
      <w:r w:rsidRPr="0016277A">
        <w:rPr>
          <w:rStyle w:val="21"/>
          <w:color w:val="000000"/>
        </w:rPr>
        <w:tab/>
        <w:t>профилактики и диспансеризации детей в</w:t>
      </w:r>
    </w:p>
    <w:p w14:paraId="0C849E44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периоде прикуса смены зубов для предупреждения трансверсальной аномалии окклюзии</w:t>
      </w:r>
      <w:r w:rsidRPr="0016277A">
        <w:rPr>
          <w:rStyle w:val="21"/>
          <w:color w:val="000000"/>
        </w:rPr>
        <w:tab/>
        <w:t xml:space="preserve"> 119</w:t>
      </w:r>
    </w:p>
    <w:p w14:paraId="56B85199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ЗАКЛЮЧЕНИЕ</w:t>
      </w:r>
      <w:r w:rsidRPr="0016277A">
        <w:rPr>
          <w:rStyle w:val="21"/>
          <w:color w:val="000000"/>
        </w:rPr>
        <w:tab/>
        <w:t xml:space="preserve"> 123</w:t>
      </w:r>
    </w:p>
    <w:p w14:paraId="781F2B94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ВЫВОДЫ</w:t>
      </w:r>
      <w:r w:rsidRPr="0016277A">
        <w:rPr>
          <w:rStyle w:val="21"/>
          <w:color w:val="000000"/>
        </w:rPr>
        <w:tab/>
        <w:t xml:space="preserve"> 131</w:t>
      </w:r>
    </w:p>
    <w:p w14:paraId="5ED7B42A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ПРАКТИЧЕСКИЕ РЕКОМЕНДАЦИИ</w:t>
      </w:r>
      <w:r w:rsidRPr="0016277A">
        <w:rPr>
          <w:rStyle w:val="21"/>
          <w:color w:val="000000"/>
        </w:rPr>
        <w:tab/>
        <w:t xml:space="preserve"> 133</w:t>
      </w:r>
    </w:p>
    <w:p w14:paraId="1427A293" w14:textId="77777777" w:rsidR="0016277A" w:rsidRPr="0016277A" w:rsidRDefault="0016277A" w:rsidP="0016277A">
      <w:pPr>
        <w:rPr>
          <w:rStyle w:val="21"/>
          <w:color w:val="000000"/>
        </w:rPr>
      </w:pPr>
      <w:r w:rsidRPr="0016277A">
        <w:rPr>
          <w:rStyle w:val="21"/>
          <w:color w:val="000000"/>
        </w:rPr>
        <w:t>СПИСОК ЛИТЕРАТУРЫ</w:t>
      </w:r>
      <w:r w:rsidRPr="0016277A">
        <w:rPr>
          <w:rStyle w:val="21"/>
          <w:color w:val="000000"/>
        </w:rPr>
        <w:tab/>
        <w:t xml:space="preserve"> 134 </w:t>
      </w:r>
    </w:p>
    <w:p w14:paraId="39CD2C01" w14:textId="1A816EBA" w:rsidR="00CE1129" w:rsidRDefault="00CE1129" w:rsidP="0016277A"/>
    <w:p w14:paraId="7281993A" w14:textId="1313B474" w:rsidR="0016277A" w:rsidRDefault="0016277A" w:rsidP="0016277A"/>
    <w:p w14:paraId="75FE70D9" w14:textId="3D3C2334" w:rsidR="0016277A" w:rsidRDefault="0016277A" w:rsidP="0016277A"/>
    <w:p w14:paraId="6520C2AA" w14:textId="77777777" w:rsidR="0016277A" w:rsidRDefault="0016277A" w:rsidP="0016277A">
      <w:pPr>
        <w:pStyle w:val="2b"/>
        <w:keepNext/>
        <w:keepLines/>
        <w:shd w:val="clear" w:color="auto" w:fill="auto"/>
        <w:ind w:left="80"/>
      </w:pPr>
      <w:bookmarkStart w:id="0" w:name="bookmark27"/>
      <w:r>
        <w:rPr>
          <w:rStyle w:val="2a"/>
          <w:color w:val="000000"/>
        </w:rPr>
        <w:t>выводы</w:t>
      </w:r>
      <w:bookmarkEnd w:id="0"/>
    </w:p>
    <w:p w14:paraId="34D8F2D6" w14:textId="77777777" w:rsidR="0016277A" w:rsidRDefault="0016277A" w:rsidP="0016277A">
      <w:pPr>
        <w:pStyle w:val="210"/>
        <w:numPr>
          <w:ilvl w:val="0"/>
          <w:numId w:val="32"/>
        </w:numPr>
        <w:shd w:val="clear" w:color="auto" w:fill="auto"/>
        <w:tabs>
          <w:tab w:val="left" w:pos="719"/>
        </w:tabs>
        <w:spacing w:before="0" w:after="0" w:line="480" w:lineRule="exact"/>
        <w:ind w:firstLine="0"/>
        <w:jc w:val="both"/>
      </w:pPr>
      <w:r>
        <w:rPr>
          <w:rStyle w:val="20pt3"/>
          <w:color w:val="000000"/>
        </w:rPr>
        <w:t>Частота встречаемости трансверсальной аномалии окклюзии среди детей и подростков в возрасте от 5 до 18 лет составила 10,79±1,13%. Частота одной из тяжелых форм - суставной формы со смещением нижней челюсти - в периоде прикуса временных зубов среди детей с трансверсальной аномалией окклюзии составила 7,79±3,06%, в периоде прикуса смены зубов — 77,90±4,73%, а в периоде прикуса постоянных зубов - 14,31±3,99%.</w:t>
      </w:r>
    </w:p>
    <w:p w14:paraId="01E8D7FC" w14:textId="77777777" w:rsidR="0016277A" w:rsidRDefault="0016277A" w:rsidP="0016277A">
      <w:pPr>
        <w:pStyle w:val="210"/>
        <w:numPr>
          <w:ilvl w:val="0"/>
          <w:numId w:val="32"/>
        </w:numPr>
        <w:shd w:val="clear" w:color="auto" w:fill="auto"/>
        <w:tabs>
          <w:tab w:val="left" w:pos="719"/>
        </w:tabs>
        <w:spacing w:before="0" w:after="0" w:line="480" w:lineRule="exact"/>
        <w:ind w:firstLine="0"/>
        <w:jc w:val="both"/>
      </w:pPr>
      <w:r>
        <w:rPr>
          <w:rStyle w:val="20pt3"/>
          <w:color w:val="000000"/>
        </w:rPr>
        <w:t>Изучение клинических признаков разновидностей перекрестной окклюзии у детей в периоде прикуса смены зубов позволило определить характерные симптомы и разработать алгоритм обследования и диагностики суставной формы трансверсальной аномалии окклюзии, включающий комплекс антропометрической экспресс-диагностики, биометрическое исследование моделей челюстей, функциональные методы исследования, рентгенологическое исследование по показаниям и научно обосновать возможность ограничения исследований с большой лучевой нагрузкой у детей раннего возраста.</w:t>
      </w:r>
    </w:p>
    <w:p w14:paraId="5CB282A9" w14:textId="77777777" w:rsidR="0016277A" w:rsidRDefault="0016277A" w:rsidP="0016277A">
      <w:pPr>
        <w:pStyle w:val="210"/>
        <w:numPr>
          <w:ilvl w:val="0"/>
          <w:numId w:val="32"/>
        </w:numPr>
        <w:shd w:val="clear" w:color="auto" w:fill="auto"/>
        <w:tabs>
          <w:tab w:val="left" w:pos="719"/>
        </w:tabs>
        <w:spacing w:before="0" w:after="0" w:line="480" w:lineRule="exact"/>
        <w:ind w:firstLine="0"/>
        <w:jc w:val="both"/>
      </w:pPr>
      <w:r>
        <w:rPr>
          <w:rStyle w:val="20pt3"/>
          <w:color w:val="000000"/>
        </w:rPr>
        <w:t xml:space="preserve">Современными объективными методами определены ранние доклинические признаки и факторы риска, основные из которых были нарушение носового дыхания (35,16%), различные </w:t>
      </w:r>
      <w:proofErr w:type="spellStart"/>
      <w:r>
        <w:rPr>
          <w:rStyle w:val="20pt3"/>
          <w:color w:val="000000"/>
        </w:rPr>
        <w:t>окклюзионные</w:t>
      </w:r>
      <w:proofErr w:type="spellEnd"/>
      <w:r>
        <w:rPr>
          <w:rStyle w:val="20pt3"/>
          <w:color w:val="000000"/>
        </w:rPr>
        <w:t xml:space="preserve"> нарушения в совокупности (61,64%) и вредные </w:t>
      </w:r>
      <w:r>
        <w:rPr>
          <w:rStyle w:val="20pt3"/>
          <w:color w:val="000000"/>
        </w:rPr>
        <w:lastRenderedPageBreak/>
        <w:t>привычки (3,20%).</w:t>
      </w:r>
    </w:p>
    <w:p w14:paraId="474B7C5E" w14:textId="77777777" w:rsidR="0016277A" w:rsidRDefault="0016277A" w:rsidP="0016277A">
      <w:pPr>
        <w:pStyle w:val="210"/>
        <w:numPr>
          <w:ilvl w:val="0"/>
          <w:numId w:val="32"/>
        </w:numPr>
        <w:shd w:val="clear" w:color="auto" w:fill="auto"/>
        <w:tabs>
          <w:tab w:val="left" w:pos="719"/>
        </w:tabs>
        <w:spacing w:before="0" w:after="0" w:line="480" w:lineRule="exact"/>
        <w:ind w:firstLine="0"/>
        <w:jc w:val="both"/>
      </w:pPr>
      <w:r>
        <w:rPr>
          <w:rStyle w:val="20pt3"/>
          <w:color w:val="000000"/>
        </w:rPr>
        <w:t xml:space="preserve">Анализ полученных результатов комплексного лечения суставной формы трансверсальной аномалии окклюзии в ранние сроки в периоде прикуса смены зубов, включающий одновременную </w:t>
      </w:r>
      <w:proofErr w:type="spellStart"/>
      <w:r>
        <w:rPr>
          <w:rStyle w:val="20pt3"/>
          <w:color w:val="000000"/>
        </w:rPr>
        <w:t>центрацию</w:t>
      </w:r>
      <w:proofErr w:type="spellEnd"/>
      <w:r>
        <w:rPr>
          <w:rStyle w:val="20pt3"/>
          <w:color w:val="000000"/>
        </w:rPr>
        <w:t xml:space="preserve"> нижней челюсти, нормализацию окклюзии, функции жевательных мышц и надежную ретенцию вплоть до формирования прикуса постоянных зубов, позволил разработать оптимальный алгоритм комплексного лечения с получением положительного стабильного результата. Сроки лечения сокращены на 2-6 месяцев в зависимости от степени тяжести. Через 2 года наблюдения рецидив был в 1 случае.</w:t>
      </w:r>
    </w:p>
    <w:p w14:paraId="35EEED01" w14:textId="77777777" w:rsidR="0016277A" w:rsidRDefault="0016277A" w:rsidP="0016277A">
      <w:pPr>
        <w:pStyle w:val="210"/>
        <w:numPr>
          <w:ilvl w:val="0"/>
          <w:numId w:val="32"/>
        </w:numPr>
        <w:shd w:val="clear" w:color="auto" w:fill="auto"/>
        <w:tabs>
          <w:tab w:val="left" w:pos="710"/>
        </w:tabs>
        <w:spacing w:before="0" w:after="0" w:line="480" w:lineRule="exact"/>
        <w:ind w:firstLine="0"/>
        <w:jc w:val="both"/>
        <w:sectPr w:rsidR="0016277A">
          <w:pgSz w:w="12240" w:h="15840"/>
          <w:pgMar w:top="893" w:right="995" w:bottom="531" w:left="1563" w:header="0" w:footer="3" w:gutter="0"/>
          <w:cols w:space="720"/>
          <w:noEndnote/>
          <w:docGrid w:linePitch="360"/>
        </w:sectPr>
      </w:pPr>
      <w:r>
        <w:rPr>
          <w:rStyle w:val="20pt3"/>
          <w:color w:val="000000"/>
        </w:rPr>
        <w:t xml:space="preserve">Разработанный нами алгоритм профилактических мероприятий, направленных на устранение блокирующей окклюзии путем избирательного </w:t>
      </w:r>
      <w:proofErr w:type="spellStart"/>
      <w:r>
        <w:rPr>
          <w:rStyle w:val="20pt3"/>
          <w:color w:val="000000"/>
        </w:rPr>
        <w:t>пришлифовывания</w:t>
      </w:r>
      <w:proofErr w:type="spellEnd"/>
      <w:r>
        <w:rPr>
          <w:rStyle w:val="20pt3"/>
          <w:color w:val="000000"/>
        </w:rPr>
        <w:t xml:space="preserve">, своевременного восстановления зубных рядов при раннем удалении временных зубов, восстановления функции носового дыхания, устранения </w:t>
      </w:r>
      <w:proofErr w:type="spellStart"/>
      <w:r>
        <w:rPr>
          <w:rStyle w:val="20pt3"/>
          <w:color w:val="000000"/>
        </w:rPr>
        <w:t>дискоординации</w:t>
      </w:r>
      <w:proofErr w:type="spellEnd"/>
      <w:r>
        <w:rPr>
          <w:rStyle w:val="20pt3"/>
          <w:color w:val="000000"/>
        </w:rPr>
        <w:t xml:space="preserve"> функции мышц позволяет предотвратить смещение нижней челюсти, развитие и усугубление формирующейся суставной формы трансверсальной аномалии окклюзии у детей в периоде прикуса смены зубов.</w:t>
      </w:r>
    </w:p>
    <w:p w14:paraId="2A070473" w14:textId="77777777" w:rsidR="0016277A" w:rsidRDefault="0016277A" w:rsidP="0016277A">
      <w:pPr>
        <w:pStyle w:val="210"/>
        <w:shd w:val="clear" w:color="auto" w:fill="auto"/>
        <w:spacing w:before="0" w:after="0" w:line="480" w:lineRule="exact"/>
        <w:ind w:firstLine="0"/>
      </w:pPr>
      <w:r>
        <w:rPr>
          <w:rStyle w:val="20pt3"/>
          <w:color w:val="000000"/>
        </w:rPr>
        <w:lastRenderedPageBreak/>
        <w:t>ПРАКТИЧЕСКИЕ РЕКОМЕНДАЦИИ</w:t>
      </w:r>
    </w:p>
    <w:p w14:paraId="6A427562" w14:textId="77777777" w:rsidR="0016277A" w:rsidRDefault="0016277A" w:rsidP="0016277A">
      <w:pPr>
        <w:pStyle w:val="210"/>
        <w:numPr>
          <w:ilvl w:val="0"/>
          <w:numId w:val="35"/>
        </w:numPr>
        <w:shd w:val="clear" w:color="auto" w:fill="auto"/>
        <w:tabs>
          <w:tab w:val="left" w:pos="702"/>
        </w:tabs>
        <w:spacing w:before="0" w:after="0" w:line="480" w:lineRule="exact"/>
        <w:ind w:firstLine="0"/>
        <w:jc w:val="both"/>
      </w:pPr>
      <w:r>
        <w:rPr>
          <w:rStyle w:val="20pt3"/>
          <w:color w:val="000000"/>
        </w:rPr>
        <w:t>При профилактических осмотрах детей необходимо выявлять наличие смещения нижней челюсти и факторы риска, информировать родителей о возможных последствиях.</w:t>
      </w:r>
    </w:p>
    <w:p w14:paraId="129E26FE" w14:textId="77777777" w:rsidR="0016277A" w:rsidRDefault="0016277A" w:rsidP="0016277A">
      <w:pPr>
        <w:pStyle w:val="210"/>
        <w:numPr>
          <w:ilvl w:val="0"/>
          <w:numId w:val="35"/>
        </w:numPr>
        <w:shd w:val="clear" w:color="auto" w:fill="auto"/>
        <w:tabs>
          <w:tab w:val="left" w:pos="702"/>
        </w:tabs>
        <w:spacing w:before="0" w:after="0" w:line="480" w:lineRule="exact"/>
        <w:ind w:firstLine="0"/>
        <w:jc w:val="both"/>
      </w:pPr>
      <w:r>
        <w:rPr>
          <w:rStyle w:val="20pt3"/>
          <w:color w:val="000000"/>
        </w:rPr>
        <w:t>Разработан и апробирован набор устройств для антропометрии лица с целью определения у детей степени смещения нижней челюсти в трансверсальном направлении, облегчающий диагностику разновидностей трансверсальной аномалии окклюзии.</w:t>
      </w:r>
    </w:p>
    <w:p w14:paraId="584A9173" w14:textId="77777777" w:rsidR="0016277A" w:rsidRDefault="0016277A" w:rsidP="0016277A">
      <w:pPr>
        <w:pStyle w:val="210"/>
        <w:numPr>
          <w:ilvl w:val="0"/>
          <w:numId w:val="35"/>
        </w:numPr>
        <w:shd w:val="clear" w:color="auto" w:fill="auto"/>
        <w:tabs>
          <w:tab w:val="left" w:pos="702"/>
        </w:tabs>
        <w:spacing w:before="0" w:after="0" w:line="480" w:lineRule="exact"/>
        <w:ind w:firstLine="0"/>
        <w:jc w:val="both"/>
      </w:pPr>
      <w:r>
        <w:rPr>
          <w:rStyle w:val="20pt3"/>
          <w:color w:val="000000"/>
        </w:rPr>
        <w:t>Разработаны алгоритмы обследования больного, диагностики с определением разновидностей трансверсальной аномалии окклюзии и планирования раннего комплексного лечения с учетом степени тяжести аномалии и смещения нижней челюсти в трансверсальном направлении, нарушений со стороны жевательных мышц и ВНЧС.</w:t>
      </w:r>
    </w:p>
    <w:p w14:paraId="3FBAC4F1" w14:textId="77777777" w:rsidR="0016277A" w:rsidRDefault="0016277A" w:rsidP="0016277A">
      <w:pPr>
        <w:pStyle w:val="210"/>
        <w:numPr>
          <w:ilvl w:val="0"/>
          <w:numId w:val="35"/>
        </w:numPr>
        <w:shd w:val="clear" w:color="auto" w:fill="auto"/>
        <w:tabs>
          <w:tab w:val="left" w:pos="702"/>
        </w:tabs>
        <w:spacing w:before="0" w:after="0" w:line="480" w:lineRule="exact"/>
        <w:ind w:firstLine="0"/>
        <w:jc w:val="both"/>
      </w:pPr>
      <w:r>
        <w:rPr>
          <w:rStyle w:val="20pt3"/>
          <w:color w:val="000000"/>
        </w:rPr>
        <w:t xml:space="preserve">Для лечения суставной формы трансверсальной аномалии окклюзии в ранние сроки в периоде прикуса смены зубов рекомендуем применять комплекс одновременного проведения мероприятий по устранению аномалии: ввести в </w:t>
      </w:r>
      <w:proofErr w:type="spellStart"/>
      <w:r>
        <w:rPr>
          <w:rStyle w:val="20pt3"/>
          <w:color w:val="000000"/>
        </w:rPr>
        <w:t>ортодонтический</w:t>
      </w:r>
      <w:proofErr w:type="spellEnd"/>
      <w:r>
        <w:rPr>
          <w:rStyle w:val="20pt3"/>
          <w:color w:val="000000"/>
        </w:rPr>
        <w:t xml:space="preserve"> аппарат все необходимые элементы для нормализации положения нижней челюсти, расширения челюстей по показаниям, </w:t>
      </w:r>
      <w:proofErr w:type="spellStart"/>
      <w:r>
        <w:rPr>
          <w:rStyle w:val="20pt3"/>
          <w:color w:val="000000"/>
        </w:rPr>
        <w:t>нейроэлектромиостимуляцию</w:t>
      </w:r>
      <w:proofErr w:type="spellEnd"/>
      <w:r>
        <w:rPr>
          <w:rStyle w:val="20pt3"/>
          <w:color w:val="000000"/>
        </w:rPr>
        <w:t xml:space="preserve"> жевательных мышц, завершая активное лечение надежной ретенцией и продолжать функциональную коррекцию деятельности жевательных мышц до формирования прикуса постоянных зубов.</w:t>
      </w:r>
    </w:p>
    <w:p w14:paraId="471F4ACC" w14:textId="77777777" w:rsidR="0016277A" w:rsidRPr="0016277A" w:rsidRDefault="0016277A" w:rsidP="0016277A"/>
    <w:sectPr w:rsidR="0016277A" w:rsidRPr="001627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4F0B" w14:textId="77777777" w:rsidR="00B76DED" w:rsidRDefault="00B76DED">
      <w:pPr>
        <w:spacing w:after="0" w:line="240" w:lineRule="auto"/>
      </w:pPr>
      <w:r>
        <w:separator/>
      </w:r>
    </w:p>
  </w:endnote>
  <w:endnote w:type="continuationSeparator" w:id="0">
    <w:p w14:paraId="56F8C7DE" w14:textId="77777777" w:rsidR="00B76DED" w:rsidRDefault="00B7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AE00" w14:textId="77777777" w:rsidR="00B76DED" w:rsidRDefault="00B76DED">
      <w:pPr>
        <w:spacing w:after="0" w:line="240" w:lineRule="auto"/>
      </w:pPr>
      <w:r>
        <w:separator/>
      </w:r>
    </w:p>
  </w:footnote>
  <w:footnote w:type="continuationSeparator" w:id="0">
    <w:p w14:paraId="52BD4C26" w14:textId="77777777" w:rsidR="00B76DED" w:rsidRDefault="00B7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6D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1"/>
    <w:multiLevelType w:val="multilevel"/>
    <w:tmpl w:val="00000020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51"/>
    <w:multiLevelType w:val="multilevel"/>
    <w:tmpl w:val="0000005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B3"/>
    <w:multiLevelType w:val="multilevel"/>
    <w:tmpl w:val="000000B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70C763F"/>
    <w:multiLevelType w:val="singleLevel"/>
    <w:tmpl w:val="4B6E470E"/>
    <w:lvl w:ilvl="0">
      <w:start w:val="3"/>
      <w:numFmt w:val="decimal"/>
      <w:lvlText w:val="3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D9F4315"/>
    <w:multiLevelType w:val="singleLevel"/>
    <w:tmpl w:val="59EC342C"/>
    <w:lvl w:ilvl="0">
      <w:start w:val="1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4F6B89"/>
    <w:multiLevelType w:val="singleLevel"/>
    <w:tmpl w:val="892CF1AC"/>
    <w:lvl w:ilvl="0">
      <w:start w:val="1"/>
      <w:numFmt w:val="decimal"/>
      <w:lvlText w:val="4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075DBA"/>
    <w:multiLevelType w:val="singleLevel"/>
    <w:tmpl w:val="FD3A60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E85E38"/>
    <w:multiLevelType w:val="singleLevel"/>
    <w:tmpl w:val="9C4A5180"/>
    <w:lvl w:ilvl="0">
      <w:start w:val="2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843B36"/>
    <w:multiLevelType w:val="singleLevel"/>
    <w:tmpl w:val="A3989530"/>
    <w:lvl w:ilvl="0">
      <w:start w:val="1"/>
      <w:numFmt w:val="decimal"/>
      <w:lvlText w:val="5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94925D2"/>
    <w:multiLevelType w:val="singleLevel"/>
    <w:tmpl w:val="2CF6326C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8"/>
    <w:lvlOverride w:ilvl="0"/>
  </w:num>
  <w:num w:numId="3">
    <w:abstractNumId w:val="33"/>
  </w:num>
  <w:num w:numId="4">
    <w:abstractNumId w:val="23"/>
  </w:num>
  <w:num w:numId="5">
    <w:abstractNumId w:val="18"/>
  </w:num>
  <w:num w:numId="6">
    <w:abstractNumId w:val="26"/>
  </w:num>
  <w:num w:numId="7">
    <w:abstractNumId w:val="20"/>
  </w:num>
  <w:num w:numId="8">
    <w:abstractNumId w:val="30"/>
  </w:num>
  <w:num w:numId="9">
    <w:abstractNumId w:val="29"/>
  </w:num>
  <w:num w:numId="10">
    <w:abstractNumId w:val="21"/>
  </w:num>
  <w:num w:numId="11">
    <w:abstractNumId w:val="19"/>
  </w:num>
  <w:num w:numId="12">
    <w:abstractNumId w:val="25"/>
  </w:num>
  <w:num w:numId="13">
    <w:abstractNumId w:val="32"/>
  </w:num>
  <w:num w:numId="14">
    <w:abstractNumId w:val="24"/>
  </w:num>
  <w:num w:numId="15">
    <w:abstractNumId w:val="27"/>
  </w:num>
  <w:num w:numId="16">
    <w:abstractNumId w:val="16"/>
  </w:num>
  <w:num w:numId="17">
    <w:abstractNumId w:val="22"/>
  </w:num>
  <w:num w:numId="18">
    <w:abstractNumId w:val="17"/>
  </w:num>
  <w:num w:numId="19">
    <w:abstractNumId w:val="31"/>
  </w:num>
  <w:num w:numId="20">
    <w:abstractNumId w:val="8"/>
  </w:num>
  <w:num w:numId="21">
    <w:abstractNumId w:val="9"/>
  </w:num>
  <w:num w:numId="22">
    <w:abstractNumId w:val="10"/>
  </w:num>
  <w:num w:numId="23">
    <w:abstractNumId w:val="2"/>
  </w:num>
  <w:num w:numId="24">
    <w:abstractNumId w:val="0"/>
  </w:num>
  <w:num w:numId="25">
    <w:abstractNumId w:val="1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14"/>
  </w:num>
  <w:num w:numId="31">
    <w:abstractNumId w:val="11"/>
  </w:num>
  <w:num w:numId="32">
    <w:abstractNumId w:val="12"/>
  </w:num>
  <w:num w:numId="33">
    <w:abstractNumId w:val="15"/>
  </w:num>
  <w:num w:numId="34">
    <w:abstractNumId w:val="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DED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85104</TotalTime>
  <Pages>6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4770</cp:revision>
  <dcterms:created xsi:type="dcterms:W3CDTF">2024-06-20T08:51:00Z</dcterms:created>
  <dcterms:modified xsi:type="dcterms:W3CDTF">2024-12-02T10:58:00Z</dcterms:modified>
  <cp:category/>
</cp:coreProperties>
</file>