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D2E" w:rsidRPr="00F85D2E" w:rsidRDefault="00F85D2E" w:rsidP="00F85D2E">
      <w:pPr>
        <w:keepNext/>
        <w:keepLines/>
        <w:tabs>
          <w:tab w:val="clear" w:pos="709"/>
        </w:tabs>
        <w:suppressAutoHyphens w:val="0"/>
        <w:spacing w:after="0" w:line="418" w:lineRule="exact"/>
        <w:ind w:firstLine="0"/>
        <w:jc w:val="center"/>
        <w:outlineLvl w:val="3"/>
        <w:rPr>
          <w:rFonts w:ascii="Times New Roman" w:eastAsia="Times New Roman" w:hAnsi="Times New Roman" w:cs="Times New Roman"/>
          <w:b/>
          <w:bCs/>
          <w:color w:val="000000"/>
          <w:kern w:val="0"/>
          <w:sz w:val="28"/>
          <w:szCs w:val="28"/>
          <w:lang w:val="uk-UA" w:eastAsia="uk-UA" w:bidi="uk-UA"/>
        </w:rPr>
      </w:pPr>
      <w:bookmarkStart w:id="0" w:name="bookmark0"/>
      <w:r w:rsidRPr="00F85D2E">
        <w:rPr>
          <w:rFonts w:ascii="Times New Roman" w:eastAsia="Times New Roman" w:hAnsi="Times New Roman" w:cs="Times New Roman"/>
          <w:b/>
          <w:bCs/>
          <w:color w:val="000000"/>
          <w:kern w:val="0"/>
          <w:sz w:val="28"/>
          <w:szCs w:val="28"/>
          <w:lang w:val="uk-UA" w:eastAsia="uk-UA" w:bidi="uk-UA"/>
        </w:rPr>
        <w:t>НАЦІОНАЛЬНА АКАДЕМІЯ ПЕДАГОГІЧНИХ НАУК УКРАЇНИ</w:t>
      </w:r>
      <w:r w:rsidRPr="00F85D2E">
        <w:rPr>
          <w:rFonts w:ascii="Times New Roman" w:eastAsia="Times New Roman" w:hAnsi="Times New Roman" w:cs="Times New Roman"/>
          <w:b/>
          <w:bCs/>
          <w:color w:val="000000"/>
          <w:kern w:val="0"/>
          <w:sz w:val="28"/>
          <w:szCs w:val="28"/>
          <w:lang w:val="uk-UA" w:eastAsia="uk-UA" w:bidi="uk-UA"/>
        </w:rPr>
        <w:br/>
        <w:t>ІНСТИТУТ ПЕДАГОГІЧНОЇ ОСВІТИ І ОСВІТИ ДОРОСЛИХ</w:t>
      </w:r>
      <w:bookmarkEnd w:id="0"/>
    </w:p>
    <w:p w:rsidR="00F85D2E" w:rsidRPr="00F85D2E" w:rsidRDefault="00F85D2E" w:rsidP="00F85D2E">
      <w:pPr>
        <w:keepNext/>
        <w:keepLines/>
        <w:tabs>
          <w:tab w:val="clear" w:pos="709"/>
        </w:tabs>
        <w:suppressAutoHyphens w:val="0"/>
        <w:spacing w:after="677" w:line="418" w:lineRule="exact"/>
        <w:ind w:firstLine="0"/>
        <w:jc w:val="center"/>
        <w:outlineLvl w:val="3"/>
        <w:rPr>
          <w:rFonts w:ascii="Times New Roman" w:eastAsia="Times New Roman" w:hAnsi="Times New Roman" w:cs="Times New Roman"/>
          <w:b/>
          <w:bCs/>
          <w:color w:val="000000"/>
          <w:kern w:val="0"/>
          <w:sz w:val="28"/>
          <w:szCs w:val="28"/>
          <w:lang w:val="uk-UA" w:eastAsia="uk-UA" w:bidi="uk-UA"/>
        </w:rPr>
      </w:pPr>
      <w:bookmarkStart w:id="1" w:name="bookmark1"/>
      <w:r w:rsidRPr="00F85D2E">
        <w:rPr>
          <w:rFonts w:ascii="Times New Roman" w:eastAsia="Times New Roman" w:hAnsi="Times New Roman" w:cs="Times New Roman"/>
          <w:b/>
          <w:bCs/>
          <w:color w:val="000000"/>
          <w:kern w:val="0"/>
          <w:sz w:val="28"/>
          <w:szCs w:val="28"/>
          <w:lang w:val="uk-UA" w:eastAsia="uk-UA" w:bidi="uk-UA"/>
        </w:rPr>
        <w:t>ІМЕНІ ІВАНА ЗЯЗЮНА</w:t>
      </w:r>
      <w:bookmarkEnd w:id="1"/>
    </w:p>
    <w:p w:rsidR="00F85D2E" w:rsidRPr="00F85D2E" w:rsidRDefault="00F85D2E" w:rsidP="00F85D2E">
      <w:pPr>
        <w:tabs>
          <w:tab w:val="clear" w:pos="709"/>
        </w:tabs>
        <w:suppressAutoHyphens w:val="0"/>
        <w:spacing w:after="89" w:line="322" w:lineRule="exact"/>
        <w:ind w:left="5820" w:firstLine="0"/>
        <w:jc w:val="right"/>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F85D2E" w:rsidRPr="00F85D2E" w:rsidRDefault="00F85D2E" w:rsidP="00F85D2E">
      <w:pPr>
        <w:keepNext/>
        <w:keepLines/>
        <w:tabs>
          <w:tab w:val="clear" w:pos="709"/>
        </w:tabs>
        <w:suppressAutoHyphens w:val="0"/>
        <w:spacing w:after="0" w:line="960" w:lineRule="exact"/>
        <w:ind w:firstLine="0"/>
        <w:jc w:val="center"/>
        <w:outlineLvl w:val="3"/>
        <w:rPr>
          <w:rFonts w:ascii="Times New Roman" w:eastAsia="Times New Roman" w:hAnsi="Times New Roman" w:cs="Times New Roman"/>
          <w:b/>
          <w:bCs/>
          <w:color w:val="000000"/>
          <w:kern w:val="0"/>
          <w:sz w:val="28"/>
          <w:szCs w:val="28"/>
          <w:lang w:val="uk-UA" w:eastAsia="uk-UA" w:bidi="uk-UA"/>
        </w:rPr>
      </w:pPr>
      <w:bookmarkStart w:id="2" w:name="bookmark2"/>
      <w:r w:rsidRPr="00F85D2E">
        <w:rPr>
          <w:rFonts w:ascii="Times New Roman" w:eastAsia="Times New Roman" w:hAnsi="Times New Roman" w:cs="Times New Roman"/>
          <w:b/>
          <w:bCs/>
          <w:color w:val="000000"/>
          <w:kern w:val="0"/>
          <w:sz w:val="28"/>
          <w:szCs w:val="28"/>
          <w:lang w:val="uk-UA" w:eastAsia="uk-UA" w:bidi="uk-UA"/>
        </w:rPr>
        <w:t>ОНОПРІЄНКО-КАПУСТІНА НАТАЛІЯ ВАСИЛІВНА</w:t>
      </w:r>
      <w:bookmarkEnd w:id="2"/>
    </w:p>
    <w:p w:rsidR="00F85D2E" w:rsidRPr="00F85D2E" w:rsidRDefault="00F85D2E" w:rsidP="00F85D2E">
      <w:pPr>
        <w:tabs>
          <w:tab w:val="clear" w:pos="709"/>
        </w:tabs>
        <w:suppressAutoHyphens w:val="0"/>
        <w:spacing w:after="0" w:line="960" w:lineRule="exact"/>
        <w:ind w:left="3860" w:firstLine="1640"/>
        <w:jc w:val="left"/>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УДК 378.091.3:364-43]:159.923.2 ДИСЕРТАЦІЯ</w:t>
      </w:r>
    </w:p>
    <w:p w:rsidR="00F85D2E" w:rsidRPr="00F85D2E" w:rsidRDefault="00F85D2E" w:rsidP="00F85D2E">
      <w:pPr>
        <w:tabs>
          <w:tab w:val="clear" w:pos="709"/>
        </w:tabs>
        <w:suppressAutoHyphens w:val="0"/>
        <w:spacing w:after="710" w:line="418" w:lineRule="exact"/>
        <w:ind w:firstLine="0"/>
        <w:jc w:val="center"/>
        <w:rPr>
          <w:rFonts w:ascii="Times New Roman" w:eastAsia="Times New Roman" w:hAnsi="Times New Roman" w:cs="Times New Roman"/>
          <w:b/>
          <w:bCs/>
          <w:color w:val="000000"/>
          <w:kern w:val="0"/>
          <w:sz w:val="28"/>
          <w:szCs w:val="28"/>
          <w:lang w:val="uk-UA" w:eastAsia="uk-UA" w:bidi="uk-UA"/>
        </w:rPr>
      </w:pPr>
      <w:r w:rsidRPr="00F85D2E">
        <w:rPr>
          <w:rFonts w:ascii="Times New Roman" w:eastAsia="Times New Roman" w:hAnsi="Times New Roman" w:cs="Times New Roman"/>
          <w:b/>
          <w:bCs/>
          <w:color w:val="000000"/>
          <w:kern w:val="0"/>
          <w:sz w:val="28"/>
          <w:szCs w:val="28"/>
          <w:lang w:val="uk-UA" w:eastAsia="uk-UA" w:bidi="uk-UA"/>
        </w:rPr>
        <w:t>ПСИХОЛОГІЧНІ ОСОБЛИВОСТІ РОЗВИТКУ</w:t>
      </w:r>
      <w:r w:rsidRPr="00F85D2E">
        <w:rPr>
          <w:rFonts w:ascii="Times New Roman" w:eastAsia="Times New Roman" w:hAnsi="Times New Roman" w:cs="Times New Roman"/>
          <w:b/>
          <w:bCs/>
          <w:color w:val="000000"/>
          <w:kern w:val="0"/>
          <w:sz w:val="28"/>
          <w:szCs w:val="28"/>
          <w:lang w:val="uk-UA" w:eastAsia="uk-UA" w:bidi="uk-UA"/>
        </w:rPr>
        <w:br/>
        <w:t>САМОЕФЕКТИВНОСТІ МАЙБУТНІХ ФАХІВЦІВ СОЦІАЛЬНИХ</w:t>
      </w:r>
      <w:r w:rsidRPr="00F85D2E">
        <w:rPr>
          <w:rFonts w:ascii="Times New Roman" w:eastAsia="Times New Roman" w:hAnsi="Times New Roman" w:cs="Times New Roman"/>
          <w:b/>
          <w:bCs/>
          <w:color w:val="000000"/>
          <w:kern w:val="0"/>
          <w:sz w:val="28"/>
          <w:szCs w:val="28"/>
          <w:lang w:val="uk-UA" w:eastAsia="uk-UA" w:bidi="uk-UA"/>
        </w:rPr>
        <w:br/>
        <w:t>СЛУЖБ У ПРОЦЕСІ ПРОФЕСІЙНОЇ ПІДГОТОВКИ</w:t>
      </w:r>
    </w:p>
    <w:p w:rsidR="00F85D2E" w:rsidRPr="00F85D2E" w:rsidRDefault="00F85D2E" w:rsidP="00F85D2E">
      <w:pPr>
        <w:tabs>
          <w:tab w:val="clear" w:pos="709"/>
        </w:tabs>
        <w:suppressAutoHyphens w:val="0"/>
        <w:spacing w:after="1302" w:line="280" w:lineRule="exact"/>
        <w:ind w:left="440" w:firstLine="0"/>
        <w:jc w:val="left"/>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психологічних наук</w:t>
      </w:r>
    </w:p>
    <w:p w:rsidR="00F85D2E" w:rsidRPr="00F85D2E" w:rsidRDefault="00F85D2E" w:rsidP="00F85D2E">
      <w:pPr>
        <w:tabs>
          <w:tab w:val="clear" w:pos="709"/>
        </w:tabs>
        <w:suppressAutoHyphens w:val="0"/>
        <w:spacing w:after="527" w:line="280" w:lineRule="exact"/>
        <w:ind w:firstLine="0"/>
        <w:jc w:val="center"/>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19.00.07 - педагогічна та вікова психологія</w:t>
      </w:r>
    </w:p>
    <w:p w:rsidR="00F85D2E" w:rsidRPr="00F85D2E" w:rsidRDefault="00F85D2E" w:rsidP="00F85D2E">
      <w:pPr>
        <w:tabs>
          <w:tab w:val="clear" w:pos="709"/>
        </w:tabs>
        <w:suppressAutoHyphens w:val="0"/>
        <w:spacing w:after="600" w:line="418" w:lineRule="exact"/>
        <w:ind w:firstLine="0"/>
        <w:rPr>
          <w:rFonts w:ascii="Times New Roman" w:eastAsia="Times New Roman" w:hAnsi="Times New Roman" w:cs="Times New Roman"/>
          <w:color w:val="000000"/>
          <w:kern w:val="0"/>
          <w:sz w:val="28"/>
          <w:szCs w:val="28"/>
          <w:lang w:val="uk-UA" w:eastAsia="uk-UA" w:bidi="uk-UA"/>
        </w:rPr>
      </w:pPr>
      <w:r>
        <w:rPr>
          <w:rFonts w:ascii="Times New Roman" w:eastAsia="Times New Roman" w:hAnsi="Times New Roman" w:cs="Times New Roman"/>
          <w:noProof/>
          <w:color w:val="000000"/>
          <w:kern w:val="0"/>
          <w:sz w:val="28"/>
          <w:szCs w:val="28"/>
          <w:lang w:eastAsia="ru-RU"/>
        </w:rPr>
        <w:drawing>
          <wp:anchor distT="0" distB="0" distL="63500" distR="63500" simplePos="0" relativeHeight="251660288" behindDoc="1" locked="0" layoutInCell="1" allowOverlap="1">
            <wp:simplePos x="0" y="0"/>
            <wp:positionH relativeFrom="margin">
              <wp:posOffset>635</wp:posOffset>
            </wp:positionH>
            <wp:positionV relativeFrom="paragraph">
              <wp:posOffset>441960</wp:posOffset>
            </wp:positionV>
            <wp:extent cx="487680" cy="389890"/>
            <wp:effectExtent l="19050" t="0" r="7620" b="0"/>
            <wp:wrapSquare wrapText="bothSides"/>
            <wp:docPr id="457" name="Рисунок 457" descr="C:\Users\Pavel\AppData\Local\Temp\Rar$DIa0.49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Users\Pavel\AppData\Local\Temp\Rar$DIa0.498\media\image1.jpeg"/>
                    <pic:cNvPicPr>
                      <a:picLocks noChangeAspect="1" noChangeArrowheads="1"/>
                    </pic:cNvPicPr>
                  </pic:nvPicPr>
                  <pic:blipFill>
                    <a:blip r:embed="rId8" cstate="print"/>
                    <a:srcRect/>
                    <a:stretch>
                      <a:fillRect/>
                    </a:stretch>
                  </pic:blipFill>
                  <pic:spPr bwMode="auto">
                    <a:xfrm>
                      <a:off x="0" y="0"/>
                      <a:ext cx="487680" cy="389890"/>
                    </a:xfrm>
                    <a:prstGeom prst="rect">
                      <a:avLst/>
                    </a:prstGeom>
                    <a:noFill/>
                  </pic:spPr>
                </pic:pic>
              </a:graphicData>
            </a:graphic>
          </wp:anchor>
        </w:drawing>
      </w:r>
      <w:r w:rsidRPr="00F85D2E">
        <w:rPr>
          <w:rFonts w:ascii="Times New Roman" w:eastAsia="Times New Roman" w:hAnsi="Times New Roman" w:cs="Times New Roman"/>
          <w:color w:val="000000"/>
          <w:kern w:val="0"/>
          <w:sz w:val="28"/>
          <w:szCs w:val="28"/>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F85D2E">
        <w:rPr>
          <w:rFonts w:ascii="Times New Roman" w:eastAsia="Times New Roman" w:hAnsi="Times New Roman" w:cs="Times New Roman"/>
          <w:color w:val="000000"/>
          <w:kern w:val="0"/>
          <w:sz w:val="28"/>
          <w:szCs w:val="28"/>
          <w:u w:val="single"/>
          <w:lang w:val="uk-UA" w:eastAsia="uk-UA" w:bidi="uk-UA"/>
        </w:rPr>
        <w:t>—_</w:t>
      </w:r>
      <w:r w:rsidRPr="00F85D2E">
        <w:rPr>
          <w:rFonts w:ascii="Times New Roman" w:eastAsia="Times New Roman" w:hAnsi="Times New Roman" w:cs="Times New Roman"/>
          <w:color w:val="000000"/>
          <w:kern w:val="0"/>
          <w:sz w:val="28"/>
          <w:szCs w:val="28"/>
          <w:lang w:val="uk-UA" w:eastAsia="uk-UA" w:bidi="uk-UA"/>
        </w:rPr>
        <w:t xml:space="preserve">  Н. В. Онопрієнко-Капустіна</w:t>
      </w:r>
    </w:p>
    <w:p w:rsidR="00F85D2E" w:rsidRPr="00F85D2E" w:rsidRDefault="00F85D2E" w:rsidP="00F85D2E">
      <w:pPr>
        <w:tabs>
          <w:tab w:val="clear" w:pos="709"/>
        </w:tabs>
        <w:suppressAutoHyphens w:val="0"/>
        <w:spacing w:after="710" w:line="418" w:lineRule="exact"/>
        <w:ind w:firstLine="0"/>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 xml:space="preserve">Науковий керівник: </w:t>
      </w:r>
      <w:r w:rsidRPr="00F85D2E">
        <w:rPr>
          <w:rFonts w:ascii="Times New Roman" w:eastAsia="Times New Roman" w:hAnsi="Times New Roman" w:cs="Times New Roman"/>
          <w:b/>
          <w:bCs/>
          <w:color w:val="000000"/>
          <w:kern w:val="0"/>
          <w:sz w:val="28"/>
          <w:lang w:val="uk-UA" w:eastAsia="uk-UA" w:bidi="uk-UA"/>
        </w:rPr>
        <w:t>Балахтар Валентина Візіторівна</w:t>
      </w:r>
      <w:r w:rsidRPr="00F85D2E">
        <w:rPr>
          <w:rFonts w:ascii="Times New Roman" w:eastAsia="Times New Roman" w:hAnsi="Times New Roman" w:cs="Times New Roman"/>
          <w:color w:val="000000"/>
          <w:kern w:val="0"/>
          <w:sz w:val="28"/>
          <w:szCs w:val="28"/>
          <w:lang w:val="uk-UA" w:eastAsia="uk-UA" w:bidi="uk-UA"/>
        </w:rPr>
        <w:t>, доктор психологічних наук, професор, професор кафедри педагогіки та соціальної роботи, Чернівецький національний університет імені Юрія Федьковича</w:t>
      </w:r>
    </w:p>
    <w:p w:rsidR="00B53754" w:rsidRDefault="00F85D2E" w:rsidP="00F85D2E">
      <w:pPr>
        <w:rPr>
          <w:rFonts w:ascii="Arial Unicode MS" w:eastAsia="Arial Unicode MS" w:hAnsi="Arial Unicode MS" w:cs="Arial Unicode MS"/>
          <w:color w:val="000000"/>
          <w:kern w:val="0"/>
          <w:sz w:val="24"/>
          <w:szCs w:val="24"/>
          <w:lang w:val="uk-UA" w:eastAsia="uk-UA" w:bidi="uk-UA"/>
        </w:rPr>
      </w:pPr>
      <w:bookmarkStart w:id="3" w:name="bookmark3"/>
      <w:r w:rsidRPr="00F85D2E">
        <w:rPr>
          <w:rFonts w:ascii="Arial Unicode MS" w:eastAsia="Arial Unicode MS" w:hAnsi="Arial Unicode MS" w:cs="Arial Unicode MS"/>
          <w:color w:val="000000"/>
          <w:kern w:val="0"/>
          <w:sz w:val="24"/>
          <w:szCs w:val="24"/>
          <w:lang w:val="uk-UA" w:eastAsia="uk-UA" w:bidi="uk-UA"/>
        </w:rPr>
        <w:t xml:space="preserve">Київ </w:t>
      </w:r>
      <w:r>
        <w:rPr>
          <w:rFonts w:ascii="Arial Unicode MS" w:eastAsia="Arial Unicode MS" w:hAnsi="Arial Unicode MS" w:cs="Arial Unicode MS"/>
          <w:color w:val="000000"/>
          <w:kern w:val="0"/>
          <w:sz w:val="24"/>
          <w:szCs w:val="24"/>
          <w:lang w:val="uk-UA" w:eastAsia="uk-UA" w:bidi="uk-UA"/>
        </w:rPr>
        <w:t>–</w:t>
      </w:r>
      <w:r w:rsidRPr="00F85D2E">
        <w:rPr>
          <w:rFonts w:ascii="Arial Unicode MS" w:eastAsia="Arial Unicode MS" w:hAnsi="Arial Unicode MS" w:cs="Arial Unicode MS"/>
          <w:color w:val="000000"/>
          <w:kern w:val="0"/>
          <w:sz w:val="24"/>
          <w:szCs w:val="24"/>
          <w:lang w:val="uk-UA" w:eastAsia="uk-UA" w:bidi="uk-UA"/>
        </w:rPr>
        <w:t xml:space="preserve"> 2021</w:t>
      </w:r>
      <w:bookmarkEnd w:id="3"/>
    </w:p>
    <w:p w:rsidR="00F85D2E" w:rsidRDefault="00F85D2E" w:rsidP="00F85D2E">
      <w:pPr>
        <w:rPr>
          <w:rFonts w:ascii="Arial Unicode MS" w:eastAsia="Arial Unicode MS" w:hAnsi="Arial Unicode MS" w:cs="Arial Unicode MS"/>
          <w:color w:val="000000"/>
          <w:kern w:val="0"/>
          <w:sz w:val="24"/>
          <w:szCs w:val="24"/>
          <w:lang w:val="uk-UA" w:eastAsia="uk-UA" w:bidi="uk-UA"/>
        </w:rPr>
      </w:pPr>
    </w:p>
    <w:p w:rsidR="00F85D2E" w:rsidRDefault="00F85D2E" w:rsidP="00F85D2E">
      <w:pPr>
        <w:rPr>
          <w:rFonts w:ascii="Arial Unicode MS" w:eastAsia="Arial Unicode MS" w:hAnsi="Arial Unicode MS" w:cs="Arial Unicode MS"/>
          <w:color w:val="000000"/>
          <w:kern w:val="0"/>
          <w:sz w:val="24"/>
          <w:szCs w:val="24"/>
          <w:lang w:val="uk-UA" w:eastAsia="uk-UA" w:bidi="uk-UA"/>
        </w:rPr>
      </w:pPr>
    </w:p>
    <w:p w:rsidR="00F85D2E" w:rsidRPr="00F85D2E" w:rsidRDefault="00F85D2E" w:rsidP="00F85D2E">
      <w:pPr>
        <w:keepNext/>
        <w:keepLines/>
        <w:tabs>
          <w:tab w:val="clear" w:pos="709"/>
        </w:tabs>
        <w:suppressAutoHyphens w:val="0"/>
        <w:spacing w:after="952" w:line="280" w:lineRule="exact"/>
        <w:ind w:left="60" w:firstLine="0"/>
        <w:jc w:val="center"/>
        <w:outlineLvl w:val="3"/>
        <w:rPr>
          <w:rFonts w:ascii="Times New Roman" w:eastAsia="Times New Roman" w:hAnsi="Times New Roman" w:cs="Times New Roman"/>
          <w:b/>
          <w:bCs/>
          <w:color w:val="000000"/>
          <w:kern w:val="0"/>
          <w:sz w:val="28"/>
          <w:szCs w:val="28"/>
          <w:lang w:val="uk-UA" w:eastAsia="uk-UA" w:bidi="uk-UA"/>
        </w:rPr>
      </w:pPr>
      <w:bookmarkStart w:id="4" w:name="bookmark5"/>
      <w:r w:rsidRPr="00F85D2E">
        <w:rPr>
          <w:rFonts w:ascii="Times New Roman" w:eastAsia="Times New Roman" w:hAnsi="Times New Roman" w:cs="Times New Roman"/>
          <w:b/>
          <w:bCs/>
          <w:color w:val="000000"/>
          <w:kern w:val="0"/>
          <w:sz w:val="28"/>
          <w:szCs w:val="28"/>
          <w:lang w:val="uk-UA" w:eastAsia="uk-UA" w:bidi="uk-UA"/>
        </w:rPr>
        <w:t>ЗМІСТ</w:t>
      </w:r>
      <w:bookmarkEnd w:id="4"/>
    </w:p>
    <w:p w:rsidR="00F85D2E" w:rsidRPr="00F85D2E" w:rsidRDefault="00F85D2E" w:rsidP="00F85D2E">
      <w:pPr>
        <w:tabs>
          <w:tab w:val="clear" w:pos="709"/>
          <w:tab w:val="left" w:leader="dot" w:pos="865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fldChar w:fldCharType="begin"/>
      </w:r>
      <w:r w:rsidRPr="00F85D2E">
        <w:rPr>
          <w:rFonts w:ascii="Times New Roman" w:eastAsia="Times New Roman" w:hAnsi="Times New Roman" w:cs="Times New Roman"/>
          <w:color w:val="000000"/>
          <w:kern w:val="0"/>
          <w:sz w:val="28"/>
          <w:szCs w:val="28"/>
          <w:lang w:val="uk-UA" w:eastAsia="uk-UA" w:bidi="uk-UA"/>
        </w:rPr>
        <w:instrText xml:space="preserve"> TOC \o "1-5" \h \z </w:instrText>
      </w:r>
      <w:r w:rsidRPr="00F85D2E">
        <w:rPr>
          <w:rFonts w:ascii="Times New Roman" w:eastAsia="Times New Roman" w:hAnsi="Times New Roman" w:cs="Times New Roman"/>
          <w:color w:val="000000"/>
          <w:kern w:val="0"/>
          <w:sz w:val="28"/>
          <w:szCs w:val="28"/>
          <w:lang w:val="uk-UA" w:eastAsia="uk-UA" w:bidi="uk-UA"/>
        </w:rPr>
        <w:fldChar w:fldCharType="separate"/>
      </w:r>
      <w:hyperlink w:anchor="bookmark6" w:tooltip="Current Document">
        <w:r w:rsidRPr="00F85D2E">
          <w:rPr>
            <w:rFonts w:ascii="Times New Roman" w:eastAsia="Times New Roman" w:hAnsi="Times New Roman" w:cs="Times New Roman"/>
            <w:color w:val="000000"/>
            <w:kern w:val="0"/>
            <w:sz w:val="28"/>
            <w:szCs w:val="28"/>
            <w:lang w:val="uk-UA" w:eastAsia="uk-UA" w:bidi="uk-UA"/>
          </w:rPr>
          <w:t>ВСТУП</w:t>
        </w:r>
        <w:r w:rsidRPr="00F85D2E">
          <w:rPr>
            <w:rFonts w:ascii="Times New Roman" w:eastAsia="Times New Roman" w:hAnsi="Times New Roman" w:cs="Times New Roman"/>
            <w:color w:val="000000"/>
            <w:kern w:val="0"/>
            <w:sz w:val="28"/>
            <w:szCs w:val="28"/>
            <w:lang w:val="uk-UA" w:eastAsia="uk-UA" w:bidi="uk-UA"/>
          </w:rPr>
          <w:tab/>
          <w:t xml:space="preserve"> 23</w:t>
        </w:r>
      </w:hyperlink>
    </w:p>
    <w:p w:rsidR="00F85D2E" w:rsidRPr="00F85D2E" w:rsidRDefault="00F85D2E" w:rsidP="00F85D2E">
      <w:pPr>
        <w:tabs>
          <w:tab w:val="clear" w:pos="709"/>
          <w:tab w:val="right" w:leader="dot" w:pos="8673"/>
        </w:tabs>
        <w:suppressAutoHyphens w:val="0"/>
        <w:spacing w:after="0" w:line="480" w:lineRule="exact"/>
        <w:ind w:right="580" w:firstLine="0"/>
        <w:rPr>
          <w:rFonts w:ascii="Times New Roman" w:eastAsia="Times New Roman" w:hAnsi="Times New Roman" w:cs="Times New Roman"/>
          <w:color w:val="000000"/>
          <w:kern w:val="0"/>
          <w:sz w:val="28"/>
          <w:szCs w:val="28"/>
          <w:lang w:val="uk-UA" w:eastAsia="uk-UA" w:bidi="uk-UA"/>
        </w:rPr>
      </w:pPr>
      <w:hyperlink w:anchor="bookmark8" w:tooltip="Current Document">
        <w:r w:rsidRPr="00F85D2E">
          <w:rPr>
            <w:rFonts w:ascii="Times New Roman" w:eastAsia="Times New Roman" w:hAnsi="Times New Roman" w:cs="Times New Roman"/>
            <w:color w:val="000000"/>
            <w:kern w:val="0"/>
            <w:sz w:val="28"/>
            <w:szCs w:val="28"/>
            <w:lang w:val="uk-UA" w:eastAsia="uk-UA" w:bidi="uk-UA"/>
          </w:rPr>
          <w:t>РОЗДІЛ 1. ТЕОРЕТИКО-МЕТОДОГІЧНІ ЗАСАДИ ДОСЛІДЖЕННЯ ПРОБЛЕМИ САМОЕФЕКТИВНОСТІ МАЙБУТНІХ ФАХІВЦІВ СОЦІАЛЬНИХ СЛУЖБ</w:t>
        </w:r>
        <w:r w:rsidRPr="00F85D2E">
          <w:rPr>
            <w:rFonts w:ascii="Times New Roman" w:eastAsia="Times New Roman" w:hAnsi="Times New Roman" w:cs="Times New Roman"/>
            <w:color w:val="000000"/>
            <w:kern w:val="0"/>
            <w:sz w:val="28"/>
            <w:szCs w:val="28"/>
            <w:lang w:val="uk-UA" w:eastAsia="uk-UA" w:bidi="uk-UA"/>
          </w:rPr>
          <w:tab/>
          <w:t xml:space="preserve"> 31</w:t>
        </w:r>
      </w:hyperlink>
    </w:p>
    <w:p w:rsidR="00F85D2E" w:rsidRPr="00F85D2E" w:rsidRDefault="00F85D2E" w:rsidP="00F85D2E">
      <w:pPr>
        <w:numPr>
          <w:ilvl w:val="0"/>
          <w:numId w:val="22"/>
        </w:numPr>
        <w:tabs>
          <w:tab w:val="clear" w:pos="709"/>
          <w:tab w:val="left" w:pos="570"/>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Основні наукові підходи до вивчення проблеми самоефективності</w:t>
      </w:r>
    </w:p>
    <w:p w:rsidR="00F85D2E" w:rsidRPr="00F85D2E" w:rsidRDefault="00F85D2E" w:rsidP="00F85D2E">
      <w:pPr>
        <w:tabs>
          <w:tab w:val="clear" w:pos="709"/>
          <w:tab w:val="left" w:leader="dot" w:pos="8652"/>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особистості у психологічній літературі</w:t>
      </w:r>
      <w:r w:rsidRPr="00F85D2E">
        <w:rPr>
          <w:rFonts w:ascii="Times New Roman" w:eastAsia="Times New Roman" w:hAnsi="Times New Roman" w:cs="Times New Roman"/>
          <w:color w:val="000000"/>
          <w:kern w:val="0"/>
          <w:sz w:val="28"/>
          <w:szCs w:val="28"/>
          <w:lang w:val="uk-UA" w:eastAsia="uk-UA" w:bidi="uk-UA"/>
        </w:rPr>
        <w:tab/>
        <w:t xml:space="preserve"> 31</w:t>
      </w:r>
    </w:p>
    <w:p w:rsidR="00F85D2E" w:rsidRPr="00F85D2E" w:rsidRDefault="00F85D2E" w:rsidP="00F85D2E">
      <w:pPr>
        <w:numPr>
          <w:ilvl w:val="0"/>
          <w:numId w:val="22"/>
        </w:numPr>
        <w:tabs>
          <w:tab w:val="clear" w:pos="709"/>
          <w:tab w:val="left" w:pos="570"/>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Зміст і складові самоефективності майбутніх фахівців соціальних</w:t>
      </w:r>
    </w:p>
    <w:p w:rsidR="00F85D2E" w:rsidRPr="00F85D2E" w:rsidRDefault="00F85D2E" w:rsidP="00F85D2E">
      <w:pPr>
        <w:tabs>
          <w:tab w:val="clear" w:pos="709"/>
          <w:tab w:val="left" w:leader="dot" w:pos="8652"/>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служб</w:t>
      </w:r>
      <w:r w:rsidRPr="00F85D2E">
        <w:rPr>
          <w:rFonts w:ascii="Times New Roman" w:eastAsia="Times New Roman" w:hAnsi="Times New Roman" w:cs="Times New Roman"/>
          <w:color w:val="000000"/>
          <w:kern w:val="0"/>
          <w:sz w:val="28"/>
          <w:szCs w:val="28"/>
          <w:lang w:val="uk-UA" w:eastAsia="uk-UA" w:bidi="uk-UA"/>
        </w:rPr>
        <w:tab/>
        <w:t xml:space="preserve"> 43</w:t>
      </w:r>
    </w:p>
    <w:p w:rsidR="00F85D2E" w:rsidRPr="00F85D2E" w:rsidRDefault="00F85D2E" w:rsidP="00F85D2E">
      <w:pPr>
        <w:numPr>
          <w:ilvl w:val="0"/>
          <w:numId w:val="22"/>
        </w:numPr>
        <w:tabs>
          <w:tab w:val="clear" w:pos="709"/>
          <w:tab w:val="left" w:pos="570"/>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Теоретичний аналіз психологічних проблем розвитку</w:t>
      </w:r>
    </w:p>
    <w:p w:rsidR="00F85D2E" w:rsidRPr="00F85D2E" w:rsidRDefault="00F85D2E" w:rsidP="00F85D2E">
      <w:pPr>
        <w:tabs>
          <w:tab w:val="clear" w:pos="709"/>
          <w:tab w:val="left" w:leader="dot" w:pos="8652"/>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hyperlink w:anchor="bookmark11" w:tooltip="Current Document">
        <w:r w:rsidRPr="00F85D2E">
          <w:rPr>
            <w:rFonts w:ascii="Times New Roman" w:eastAsia="Times New Roman" w:hAnsi="Times New Roman" w:cs="Times New Roman"/>
            <w:color w:val="000000"/>
            <w:kern w:val="0"/>
            <w:sz w:val="28"/>
            <w:szCs w:val="28"/>
            <w:lang w:val="uk-UA" w:eastAsia="uk-UA" w:bidi="uk-UA"/>
          </w:rPr>
          <w:t>самоефективності майбутніх фахівців соціальних служб</w:t>
        </w:r>
        <w:r w:rsidRPr="00F85D2E">
          <w:rPr>
            <w:rFonts w:ascii="Times New Roman" w:eastAsia="Times New Roman" w:hAnsi="Times New Roman" w:cs="Times New Roman"/>
            <w:color w:val="000000"/>
            <w:kern w:val="0"/>
            <w:sz w:val="28"/>
            <w:szCs w:val="28"/>
            <w:lang w:val="uk-UA" w:eastAsia="uk-UA" w:bidi="uk-UA"/>
          </w:rPr>
          <w:tab/>
          <w:t xml:space="preserve"> 63</w:t>
        </w:r>
      </w:hyperlink>
    </w:p>
    <w:p w:rsidR="00F85D2E" w:rsidRPr="00F85D2E" w:rsidRDefault="00F85D2E" w:rsidP="00F85D2E">
      <w:pPr>
        <w:tabs>
          <w:tab w:val="clear" w:pos="709"/>
          <w:tab w:val="right" w:leader="dot" w:pos="924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13" w:tooltip="Current Document">
        <w:r w:rsidRPr="00F85D2E">
          <w:rPr>
            <w:rFonts w:ascii="Times New Roman" w:eastAsia="Times New Roman" w:hAnsi="Times New Roman" w:cs="Times New Roman"/>
            <w:color w:val="000000"/>
            <w:kern w:val="0"/>
            <w:sz w:val="28"/>
            <w:szCs w:val="28"/>
            <w:lang w:val="uk-UA" w:eastAsia="uk-UA" w:bidi="uk-UA"/>
          </w:rPr>
          <w:t>ВИСНОВКИ ДО РОЗДІЛУ 1</w:t>
        </w:r>
        <w:r w:rsidRPr="00F85D2E">
          <w:rPr>
            <w:rFonts w:ascii="Times New Roman" w:eastAsia="Times New Roman" w:hAnsi="Times New Roman" w:cs="Times New Roman"/>
            <w:color w:val="000000"/>
            <w:kern w:val="0"/>
            <w:sz w:val="28"/>
            <w:szCs w:val="28"/>
            <w:lang w:val="uk-UA" w:eastAsia="uk-UA" w:bidi="uk-UA"/>
          </w:rPr>
          <w:tab/>
          <w:t xml:space="preserve"> 74</w:t>
        </w:r>
      </w:hyperlink>
    </w:p>
    <w:p w:rsidR="00F85D2E" w:rsidRPr="00F85D2E" w:rsidRDefault="00F85D2E" w:rsidP="00F85D2E">
      <w:pPr>
        <w:tabs>
          <w:tab w:val="clear" w:pos="709"/>
          <w:tab w:val="right" w:leader="dot" w:pos="8673"/>
        </w:tabs>
        <w:suppressAutoHyphens w:val="0"/>
        <w:spacing w:after="0" w:line="480" w:lineRule="exact"/>
        <w:ind w:right="580" w:firstLine="0"/>
        <w:rPr>
          <w:rFonts w:ascii="Times New Roman" w:eastAsia="Times New Roman" w:hAnsi="Times New Roman" w:cs="Times New Roman"/>
          <w:color w:val="000000"/>
          <w:kern w:val="0"/>
          <w:sz w:val="28"/>
          <w:szCs w:val="28"/>
          <w:lang w:val="uk-UA" w:eastAsia="uk-UA" w:bidi="uk-UA"/>
        </w:rPr>
      </w:pPr>
      <w:hyperlink w:anchor="bookmark15" w:tooltip="Current Document">
        <w:r w:rsidRPr="00F85D2E">
          <w:rPr>
            <w:rFonts w:ascii="Times New Roman" w:eastAsia="Times New Roman" w:hAnsi="Times New Roman" w:cs="Times New Roman"/>
            <w:color w:val="000000"/>
            <w:kern w:val="0"/>
            <w:sz w:val="28"/>
            <w:szCs w:val="28"/>
            <w:lang w:val="uk-UA" w:eastAsia="uk-UA" w:bidi="uk-UA"/>
          </w:rPr>
          <w:t>РОЗДІЛ 2. ЕМПІРИЧНЕ ДОСЛІДЖЕННЯ РІВНІВ, СКЛАДОВИХ ТА ОСОБЛИВОСТЕЙ САМОЕФЕКТИВНОСТІ МАЙБУТНІХ ФАХІВЦІВ СОЦІАЛЬНИХ СЛУЖБ</w:t>
        </w:r>
        <w:r w:rsidRPr="00F85D2E">
          <w:rPr>
            <w:rFonts w:ascii="Times New Roman" w:eastAsia="Times New Roman" w:hAnsi="Times New Roman" w:cs="Times New Roman"/>
            <w:color w:val="000000"/>
            <w:kern w:val="0"/>
            <w:sz w:val="28"/>
            <w:szCs w:val="28"/>
            <w:lang w:val="uk-UA" w:eastAsia="uk-UA" w:bidi="uk-UA"/>
          </w:rPr>
          <w:tab/>
          <w:t xml:space="preserve"> 78</w:t>
        </w:r>
      </w:hyperlink>
    </w:p>
    <w:p w:rsidR="00F85D2E" w:rsidRPr="00F85D2E" w:rsidRDefault="00F85D2E" w:rsidP="00F85D2E">
      <w:pPr>
        <w:numPr>
          <w:ilvl w:val="0"/>
          <w:numId w:val="23"/>
        </w:numPr>
        <w:tabs>
          <w:tab w:val="clear" w:pos="709"/>
          <w:tab w:val="left" w:pos="594"/>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Організація та методика констатувального етапу емпіричного</w:t>
      </w:r>
    </w:p>
    <w:p w:rsidR="00F85D2E" w:rsidRPr="00F85D2E" w:rsidRDefault="00F85D2E" w:rsidP="00F85D2E">
      <w:pPr>
        <w:tabs>
          <w:tab w:val="clear" w:pos="709"/>
          <w:tab w:val="right" w:leader="dot" w:pos="8673"/>
        </w:tabs>
        <w:suppressAutoHyphens w:val="0"/>
        <w:spacing w:after="0" w:line="480" w:lineRule="exact"/>
        <w:ind w:left="600" w:firstLine="0"/>
        <w:jc w:val="left"/>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дослідження самоефективності майбутніх фахівців соціальних служб</w:t>
      </w:r>
      <w:r w:rsidRPr="00F85D2E">
        <w:rPr>
          <w:rFonts w:ascii="Times New Roman" w:eastAsia="Times New Roman" w:hAnsi="Times New Roman" w:cs="Times New Roman"/>
          <w:color w:val="000000"/>
          <w:kern w:val="0"/>
          <w:sz w:val="28"/>
          <w:szCs w:val="28"/>
          <w:lang w:val="uk-UA" w:eastAsia="uk-UA" w:bidi="uk-UA"/>
        </w:rPr>
        <w:tab/>
        <w:t xml:space="preserve"> 78</w:t>
      </w:r>
    </w:p>
    <w:p w:rsidR="00F85D2E" w:rsidRPr="00F85D2E" w:rsidRDefault="00F85D2E" w:rsidP="00F85D2E">
      <w:pPr>
        <w:numPr>
          <w:ilvl w:val="0"/>
          <w:numId w:val="23"/>
        </w:numPr>
        <w:tabs>
          <w:tab w:val="clear" w:pos="709"/>
          <w:tab w:val="left" w:pos="594"/>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Аналіз результатів дослідження складових самоефективності</w:t>
      </w:r>
    </w:p>
    <w:p w:rsidR="00F85D2E" w:rsidRPr="00F85D2E" w:rsidRDefault="00F85D2E" w:rsidP="00F85D2E">
      <w:pPr>
        <w:tabs>
          <w:tab w:val="clear" w:pos="709"/>
          <w:tab w:val="left" w:leader="dot" w:pos="8652"/>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hyperlink w:anchor="bookmark9" w:tooltip="Current Document">
        <w:r w:rsidRPr="00F85D2E">
          <w:rPr>
            <w:rFonts w:ascii="Times New Roman" w:eastAsia="Times New Roman" w:hAnsi="Times New Roman" w:cs="Times New Roman"/>
            <w:color w:val="000000"/>
            <w:kern w:val="0"/>
            <w:sz w:val="28"/>
            <w:szCs w:val="28"/>
            <w:lang w:val="uk-UA" w:eastAsia="uk-UA" w:bidi="uk-UA"/>
          </w:rPr>
          <w:t>майбутніх фахівців соціальних служб</w:t>
        </w:r>
        <w:r w:rsidRPr="00F85D2E">
          <w:rPr>
            <w:rFonts w:ascii="Times New Roman" w:eastAsia="Times New Roman" w:hAnsi="Times New Roman" w:cs="Times New Roman"/>
            <w:color w:val="000000"/>
            <w:kern w:val="0"/>
            <w:sz w:val="28"/>
            <w:szCs w:val="28"/>
            <w:lang w:val="uk-UA" w:eastAsia="uk-UA" w:bidi="uk-UA"/>
          </w:rPr>
          <w:tab/>
          <w:t xml:space="preserve"> 86</w:t>
        </w:r>
      </w:hyperlink>
    </w:p>
    <w:p w:rsidR="00F85D2E" w:rsidRPr="00F85D2E" w:rsidRDefault="00F85D2E" w:rsidP="00F85D2E">
      <w:pPr>
        <w:numPr>
          <w:ilvl w:val="0"/>
          <w:numId w:val="23"/>
        </w:numPr>
        <w:tabs>
          <w:tab w:val="clear" w:pos="709"/>
          <w:tab w:val="left" w:pos="594"/>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Гендерно-вікові, освітньо-професійні та демографічні особливості</w:t>
      </w:r>
    </w:p>
    <w:p w:rsidR="00F85D2E" w:rsidRPr="00F85D2E" w:rsidRDefault="00F85D2E" w:rsidP="00F85D2E">
      <w:pPr>
        <w:tabs>
          <w:tab w:val="clear" w:pos="709"/>
          <w:tab w:val="right" w:leader="dot" w:pos="9248"/>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самоефективності майбутніх фахівців соціальних служб</w:t>
      </w:r>
      <w:r w:rsidRPr="00F85D2E">
        <w:rPr>
          <w:rFonts w:ascii="Times New Roman" w:eastAsia="Times New Roman" w:hAnsi="Times New Roman" w:cs="Times New Roman"/>
          <w:color w:val="000000"/>
          <w:kern w:val="0"/>
          <w:sz w:val="28"/>
          <w:szCs w:val="28"/>
          <w:lang w:val="uk-UA" w:eastAsia="uk-UA" w:bidi="uk-UA"/>
        </w:rPr>
        <w:tab/>
        <w:t xml:space="preserve"> 102</w:t>
      </w:r>
    </w:p>
    <w:p w:rsidR="00F85D2E" w:rsidRPr="00F85D2E" w:rsidRDefault="00F85D2E" w:rsidP="00F85D2E">
      <w:pPr>
        <w:tabs>
          <w:tab w:val="clear" w:pos="709"/>
          <w:tab w:val="right" w:leader="dot" w:pos="924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1" w:tooltip="Current Document">
        <w:r w:rsidRPr="00F85D2E">
          <w:rPr>
            <w:rFonts w:ascii="Times New Roman" w:eastAsia="Times New Roman" w:hAnsi="Times New Roman" w:cs="Times New Roman"/>
            <w:color w:val="000000"/>
            <w:kern w:val="0"/>
            <w:sz w:val="28"/>
            <w:szCs w:val="28"/>
            <w:lang w:val="uk-UA" w:eastAsia="uk-UA" w:bidi="uk-UA"/>
          </w:rPr>
          <w:t>ВИСНОВКИ ДО РОЗДІЛУ 2</w:t>
        </w:r>
        <w:r w:rsidRPr="00F85D2E">
          <w:rPr>
            <w:rFonts w:ascii="Times New Roman" w:eastAsia="Times New Roman" w:hAnsi="Times New Roman" w:cs="Times New Roman"/>
            <w:color w:val="000000"/>
            <w:kern w:val="0"/>
            <w:sz w:val="28"/>
            <w:szCs w:val="28"/>
            <w:lang w:val="uk-UA" w:eastAsia="uk-UA" w:bidi="uk-UA"/>
          </w:rPr>
          <w:tab/>
          <w:t xml:space="preserve"> 117</w:t>
        </w:r>
      </w:hyperlink>
    </w:p>
    <w:p w:rsidR="00F85D2E" w:rsidRPr="00F85D2E" w:rsidRDefault="00F85D2E" w:rsidP="00F85D2E">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РОЗДІЛ 3. РОЗВИТОК САМОЕФЕКТИВНОСТІ МАЙБУТНІХ ФАХІВЦІВ СОЦІАЛЬНИХ СЛУЖБ У ФОРМУВАЛЬНОМУ</w:t>
      </w:r>
    </w:p>
    <w:p w:rsidR="00F85D2E" w:rsidRPr="00F85D2E" w:rsidRDefault="00F85D2E" w:rsidP="00F85D2E">
      <w:pPr>
        <w:tabs>
          <w:tab w:val="clear" w:pos="709"/>
          <w:tab w:val="right" w:leader="dot" w:pos="924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ЕКСПЕРИМЕНТІ</w:t>
      </w:r>
      <w:r w:rsidRPr="00F85D2E">
        <w:rPr>
          <w:rFonts w:ascii="Times New Roman" w:eastAsia="Times New Roman" w:hAnsi="Times New Roman" w:cs="Times New Roman"/>
          <w:color w:val="000000"/>
          <w:kern w:val="0"/>
          <w:sz w:val="28"/>
          <w:szCs w:val="28"/>
          <w:lang w:val="uk-UA" w:eastAsia="uk-UA" w:bidi="uk-UA"/>
        </w:rPr>
        <w:tab/>
        <w:t xml:space="preserve"> 120</w:t>
      </w:r>
    </w:p>
    <w:p w:rsidR="00F85D2E" w:rsidRPr="00F85D2E" w:rsidRDefault="00F85D2E" w:rsidP="00F85D2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3.1. Мета, завдання, психологічні принципи, умови розвитку</w:t>
      </w:r>
    </w:p>
    <w:p w:rsidR="00F85D2E" w:rsidRPr="00F85D2E" w:rsidRDefault="00F85D2E" w:rsidP="00F85D2E">
      <w:pPr>
        <w:tabs>
          <w:tab w:val="clear" w:pos="709"/>
          <w:tab w:val="right" w:leader="dot" w:pos="9248"/>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самоефективності майбутніх фахівців соціальних служб</w:t>
      </w:r>
      <w:r w:rsidRPr="00F85D2E">
        <w:rPr>
          <w:rFonts w:ascii="Times New Roman" w:eastAsia="Times New Roman" w:hAnsi="Times New Roman" w:cs="Times New Roman"/>
          <w:color w:val="000000"/>
          <w:kern w:val="0"/>
          <w:sz w:val="28"/>
          <w:szCs w:val="28"/>
          <w:lang w:val="uk-UA" w:eastAsia="uk-UA" w:bidi="uk-UA"/>
        </w:rPr>
        <w:tab/>
        <w:t xml:space="preserve"> 120</w:t>
      </w:r>
      <w:r w:rsidRPr="00F85D2E">
        <w:rPr>
          <w:rFonts w:ascii="Times New Roman" w:eastAsia="Times New Roman" w:hAnsi="Times New Roman" w:cs="Times New Roman"/>
          <w:color w:val="000000"/>
          <w:kern w:val="0"/>
          <w:sz w:val="28"/>
          <w:szCs w:val="28"/>
          <w:lang w:val="uk-UA" w:eastAsia="uk-UA" w:bidi="uk-UA"/>
        </w:rPr>
        <w:fldChar w:fldCharType="end"/>
      </w:r>
    </w:p>
    <w:p w:rsidR="00F85D2E" w:rsidRPr="00F85D2E" w:rsidRDefault="00F85D2E" w:rsidP="00F85D2E">
      <w:pPr>
        <w:numPr>
          <w:ilvl w:val="1"/>
          <w:numId w:val="23"/>
        </w:numPr>
        <w:tabs>
          <w:tab w:val="clear" w:pos="709"/>
          <w:tab w:val="left" w:pos="58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Програма тренінгу «Розвиток самоефективності майбутніх фахівців</w:t>
      </w:r>
    </w:p>
    <w:p w:rsidR="00F85D2E" w:rsidRPr="00F85D2E" w:rsidRDefault="00F85D2E" w:rsidP="00F85D2E">
      <w:pPr>
        <w:tabs>
          <w:tab w:val="clear" w:pos="709"/>
          <w:tab w:val="right" w:leader="dot" w:pos="9249"/>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fldChar w:fldCharType="begin"/>
      </w:r>
      <w:r w:rsidRPr="00F85D2E">
        <w:rPr>
          <w:rFonts w:ascii="Times New Roman" w:eastAsia="Times New Roman" w:hAnsi="Times New Roman" w:cs="Times New Roman"/>
          <w:color w:val="000000"/>
          <w:kern w:val="0"/>
          <w:sz w:val="28"/>
          <w:szCs w:val="28"/>
          <w:lang w:val="uk-UA" w:eastAsia="uk-UA" w:bidi="uk-UA"/>
        </w:rPr>
        <w:instrText xml:space="preserve"> TOC \o "1-5" \h \z </w:instrText>
      </w:r>
      <w:r w:rsidRPr="00F85D2E">
        <w:rPr>
          <w:rFonts w:ascii="Times New Roman" w:eastAsia="Times New Roman" w:hAnsi="Times New Roman" w:cs="Times New Roman"/>
          <w:color w:val="000000"/>
          <w:kern w:val="0"/>
          <w:sz w:val="28"/>
          <w:szCs w:val="28"/>
          <w:lang w:val="uk-UA" w:eastAsia="uk-UA" w:bidi="uk-UA"/>
        </w:rPr>
        <w:fldChar w:fldCharType="separate"/>
      </w:r>
      <w:r w:rsidRPr="00F85D2E">
        <w:rPr>
          <w:rFonts w:ascii="Times New Roman" w:eastAsia="Times New Roman" w:hAnsi="Times New Roman" w:cs="Times New Roman"/>
          <w:color w:val="000000"/>
          <w:kern w:val="0"/>
          <w:sz w:val="28"/>
          <w:szCs w:val="28"/>
          <w:lang w:val="uk-UA" w:eastAsia="uk-UA" w:bidi="uk-UA"/>
        </w:rPr>
        <w:t>соціальних служб»</w:t>
      </w:r>
      <w:r w:rsidRPr="00F85D2E">
        <w:rPr>
          <w:rFonts w:ascii="Times New Roman" w:eastAsia="Times New Roman" w:hAnsi="Times New Roman" w:cs="Times New Roman"/>
          <w:color w:val="000000"/>
          <w:kern w:val="0"/>
          <w:sz w:val="28"/>
          <w:szCs w:val="28"/>
          <w:lang w:val="uk-UA" w:eastAsia="uk-UA" w:bidi="uk-UA"/>
        </w:rPr>
        <w:tab/>
        <w:t xml:space="preserve"> 128</w:t>
      </w:r>
    </w:p>
    <w:p w:rsidR="00F85D2E" w:rsidRPr="00F85D2E" w:rsidRDefault="00F85D2E" w:rsidP="00F85D2E">
      <w:pPr>
        <w:numPr>
          <w:ilvl w:val="1"/>
          <w:numId w:val="23"/>
        </w:numPr>
        <w:tabs>
          <w:tab w:val="clear" w:pos="709"/>
          <w:tab w:val="left" w:pos="58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Аналіз ефективності впровадження програми розвитку</w:t>
      </w:r>
    </w:p>
    <w:p w:rsidR="00F85D2E" w:rsidRPr="00F85D2E" w:rsidRDefault="00F85D2E" w:rsidP="00F85D2E">
      <w:pPr>
        <w:tabs>
          <w:tab w:val="clear" w:pos="709"/>
          <w:tab w:val="right" w:leader="dot" w:pos="9249"/>
        </w:tabs>
        <w:suppressAutoHyphens w:val="0"/>
        <w:spacing w:after="0" w:line="480" w:lineRule="exact"/>
        <w:ind w:left="600" w:firstLine="0"/>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самоефективності майбутніх фахівців соціальних служб</w:t>
      </w:r>
      <w:r w:rsidRPr="00F85D2E">
        <w:rPr>
          <w:rFonts w:ascii="Times New Roman" w:eastAsia="Times New Roman" w:hAnsi="Times New Roman" w:cs="Times New Roman"/>
          <w:color w:val="000000"/>
          <w:kern w:val="0"/>
          <w:sz w:val="28"/>
          <w:szCs w:val="28"/>
          <w:lang w:val="uk-UA" w:eastAsia="uk-UA" w:bidi="uk-UA"/>
        </w:rPr>
        <w:tab/>
        <w:t xml:space="preserve"> 145</w:t>
      </w:r>
    </w:p>
    <w:p w:rsidR="00F85D2E" w:rsidRPr="00F85D2E" w:rsidRDefault="00F85D2E" w:rsidP="00F85D2E">
      <w:pPr>
        <w:tabs>
          <w:tab w:val="clear" w:pos="709"/>
          <w:tab w:val="right" w:leader="dot" w:pos="924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35" w:tooltip="Current Document">
        <w:r w:rsidRPr="00F85D2E">
          <w:rPr>
            <w:rFonts w:ascii="Times New Roman" w:eastAsia="Times New Roman" w:hAnsi="Times New Roman" w:cs="Times New Roman"/>
            <w:color w:val="000000"/>
            <w:kern w:val="0"/>
            <w:sz w:val="28"/>
            <w:szCs w:val="28"/>
            <w:lang w:val="uk-UA" w:eastAsia="uk-UA" w:bidi="uk-UA"/>
          </w:rPr>
          <w:t>ВИСНОВКИ ДО РОЗДІЛУ 3</w:t>
        </w:r>
        <w:r w:rsidRPr="00F85D2E">
          <w:rPr>
            <w:rFonts w:ascii="Times New Roman" w:eastAsia="Times New Roman" w:hAnsi="Times New Roman" w:cs="Times New Roman"/>
            <w:color w:val="000000"/>
            <w:kern w:val="0"/>
            <w:sz w:val="28"/>
            <w:szCs w:val="28"/>
            <w:lang w:val="uk-UA" w:eastAsia="uk-UA" w:bidi="uk-UA"/>
          </w:rPr>
          <w:tab/>
          <w:t xml:space="preserve"> 157</w:t>
        </w:r>
      </w:hyperlink>
    </w:p>
    <w:p w:rsidR="00F85D2E" w:rsidRPr="00F85D2E" w:rsidRDefault="00F85D2E" w:rsidP="00F85D2E">
      <w:pPr>
        <w:tabs>
          <w:tab w:val="clear" w:pos="709"/>
          <w:tab w:val="right" w:leader="dot" w:pos="924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36" w:tooltip="Current Document">
        <w:r w:rsidRPr="00F85D2E">
          <w:rPr>
            <w:rFonts w:ascii="Times New Roman" w:eastAsia="Times New Roman" w:hAnsi="Times New Roman" w:cs="Times New Roman"/>
            <w:color w:val="000000"/>
            <w:kern w:val="0"/>
            <w:sz w:val="28"/>
            <w:szCs w:val="28"/>
            <w:lang w:val="uk-UA" w:eastAsia="uk-UA" w:bidi="uk-UA"/>
          </w:rPr>
          <w:t>ВИСНОВКИ</w:t>
        </w:r>
        <w:r w:rsidRPr="00F85D2E">
          <w:rPr>
            <w:rFonts w:ascii="Times New Roman" w:eastAsia="Times New Roman" w:hAnsi="Times New Roman" w:cs="Times New Roman"/>
            <w:color w:val="000000"/>
            <w:kern w:val="0"/>
            <w:sz w:val="28"/>
            <w:szCs w:val="28"/>
            <w:lang w:val="uk-UA" w:eastAsia="uk-UA" w:bidi="uk-UA"/>
          </w:rPr>
          <w:tab/>
          <w:t xml:space="preserve"> 161</w:t>
        </w:r>
      </w:hyperlink>
    </w:p>
    <w:p w:rsidR="00F85D2E" w:rsidRPr="00F85D2E" w:rsidRDefault="00F85D2E" w:rsidP="00F85D2E">
      <w:pPr>
        <w:tabs>
          <w:tab w:val="clear" w:pos="709"/>
          <w:tab w:val="right" w:leader="dot" w:pos="924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СПИСОК ВИКОРИСТАНИХ ДЖЕРЕЛ</w:t>
      </w:r>
      <w:r w:rsidRPr="00F85D2E">
        <w:rPr>
          <w:rFonts w:ascii="Times New Roman" w:eastAsia="Times New Roman" w:hAnsi="Times New Roman" w:cs="Times New Roman"/>
          <w:color w:val="000000"/>
          <w:kern w:val="0"/>
          <w:sz w:val="28"/>
          <w:szCs w:val="28"/>
          <w:lang w:val="uk-UA" w:eastAsia="uk-UA" w:bidi="uk-UA"/>
        </w:rPr>
        <w:tab/>
        <w:t xml:space="preserve"> 165</w:t>
      </w:r>
    </w:p>
    <w:p w:rsidR="00F85D2E" w:rsidRDefault="00F85D2E" w:rsidP="00F85D2E">
      <w:pPr>
        <w:rPr>
          <w:rFonts w:ascii="Arial Unicode MS" w:eastAsia="Arial Unicode MS" w:hAnsi="Arial Unicode MS" w:cs="Arial Unicode MS"/>
          <w:color w:val="000000"/>
          <w:kern w:val="0"/>
          <w:sz w:val="24"/>
          <w:szCs w:val="24"/>
          <w:lang w:val="uk-UA" w:eastAsia="uk-UA" w:bidi="uk-UA"/>
        </w:rPr>
      </w:pPr>
      <w:hyperlink w:anchor="bookmark38" w:tooltip="Current Document">
        <w:r w:rsidRPr="00F85D2E">
          <w:rPr>
            <w:rFonts w:ascii="Arial Unicode MS" w:eastAsia="Arial Unicode MS" w:hAnsi="Arial Unicode MS" w:cs="Arial Unicode MS"/>
            <w:color w:val="000000"/>
            <w:kern w:val="0"/>
            <w:sz w:val="24"/>
            <w:szCs w:val="24"/>
            <w:lang w:val="uk-UA" w:eastAsia="uk-UA" w:bidi="uk-UA"/>
          </w:rPr>
          <w:t>ДОДАТКИ</w:t>
        </w:r>
        <w:r w:rsidRPr="00F85D2E">
          <w:rPr>
            <w:rFonts w:ascii="Arial Unicode MS" w:eastAsia="Arial Unicode MS" w:hAnsi="Arial Unicode MS" w:cs="Arial Unicode MS"/>
            <w:color w:val="000000"/>
            <w:kern w:val="0"/>
            <w:sz w:val="24"/>
            <w:szCs w:val="24"/>
            <w:lang w:val="uk-UA" w:eastAsia="uk-UA" w:bidi="uk-UA"/>
          </w:rPr>
          <w:tab/>
          <w:t xml:space="preserve"> 190</w:t>
        </w:r>
      </w:hyperlink>
      <w:r w:rsidRPr="00F85D2E">
        <w:rPr>
          <w:rFonts w:ascii="Arial Unicode MS" w:eastAsia="Arial Unicode MS" w:hAnsi="Arial Unicode MS" w:cs="Arial Unicode MS"/>
          <w:color w:val="000000"/>
          <w:kern w:val="0"/>
          <w:sz w:val="24"/>
          <w:szCs w:val="24"/>
          <w:lang w:val="uk-UA" w:eastAsia="uk-UA" w:bidi="uk-UA"/>
        </w:rPr>
        <w:fldChar w:fldCharType="end"/>
      </w:r>
    </w:p>
    <w:p w:rsidR="00F85D2E" w:rsidRDefault="00F85D2E" w:rsidP="00F85D2E">
      <w:pPr>
        <w:rPr>
          <w:rFonts w:ascii="Arial Unicode MS" w:eastAsia="Arial Unicode MS" w:hAnsi="Arial Unicode MS" w:cs="Arial Unicode MS"/>
          <w:color w:val="000000"/>
          <w:kern w:val="0"/>
          <w:sz w:val="24"/>
          <w:szCs w:val="24"/>
          <w:lang w:val="uk-UA" w:eastAsia="uk-UA" w:bidi="uk-UA"/>
        </w:rPr>
      </w:pPr>
    </w:p>
    <w:p w:rsidR="00F85D2E" w:rsidRDefault="00F85D2E" w:rsidP="00F85D2E">
      <w:pPr>
        <w:rPr>
          <w:rFonts w:ascii="Arial Unicode MS" w:eastAsia="Arial Unicode MS" w:hAnsi="Arial Unicode MS" w:cs="Arial Unicode MS"/>
          <w:color w:val="000000"/>
          <w:kern w:val="0"/>
          <w:sz w:val="24"/>
          <w:szCs w:val="24"/>
          <w:lang w:val="uk-UA" w:eastAsia="uk-UA" w:bidi="uk-UA"/>
        </w:rPr>
      </w:pPr>
    </w:p>
    <w:p w:rsidR="00F85D2E" w:rsidRPr="00F85D2E" w:rsidRDefault="00F85D2E" w:rsidP="00F85D2E">
      <w:pPr>
        <w:keepNext/>
        <w:keepLines/>
        <w:tabs>
          <w:tab w:val="clear" w:pos="709"/>
        </w:tabs>
        <w:suppressAutoHyphens w:val="0"/>
        <w:spacing w:after="962" w:line="280" w:lineRule="exact"/>
        <w:ind w:firstLine="0"/>
        <w:jc w:val="center"/>
        <w:outlineLvl w:val="3"/>
        <w:rPr>
          <w:rFonts w:ascii="Times New Roman" w:eastAsia="Times New Roman" w:hAnsi="Times New Roman" w:cs="Times New Roman"/>
          <w:b/>
          <w:bCs/>
          <w:kern w:val="0"/>
          <w:sz w:val="28"/>
          <w:szCs w:val="28"/>
          <w:lang w:val="uk-UA" w:eastAsia="uk-UA" w:bidi="uk-UA"/>
        </w:rPr>
      </w:pPr>
      <w:bookmarkStart w:id="5" w:name="bookmark36"/>
      <w:r w:rsidRPr="00F85D2E">
        <w:rPr>
          <w:rFonts w:ascii="Times New Roman" w:eastAsia="Times New Roman" w:hAnsi="Times New Roman" w:cs="Times New Roman"/>
          <w:b/>
          <w:bCs/>
          <w:color w:val="000000"/>
          <w:kern w:val="0"/>
          <w:sz w:val="28"/>
          <w:szCs w:val="28"/>
          <w:lang w:val="uk-UA" w:eastAsia="uk-UA" w:bidi="uk-UA"/>
        </w:rPr>
        <w:t>ВИСНОВКИ</w:t>
      </w:r>
      <w:bookmarkEnd w:id="5"/>
    </w:p>
    <w:p w:rsidR="00F85D2E" w:rsidRPr="00F85D2E" w:rsidRDefault="00F85D2E" w:rsidP="00F85D2E">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У дисертаційному дослідженні теоретично обґрунтовано й емпірично досліджено сутність, складові, особливості та умови розвитку самоефективності майбутніх фахівців соціальних служб у процесі їх професійної підготовки, що дає підстави для наступних висновків.</w:t>
      </w:r>
    </w:p>
    <w:p w:rsidR="00F85D2E" w:rsidRPr="00F85D2E" w:rsidRDefault="00F85D2E" w:rsidP="00F85D2E">
      <w:pPr>
        <w:numPr>
          <w:ilvl w:val="0"/>
          <w:numId w:val="24"/>
        </w:numPr>
        <w:tabs>
          <w:tab w:val="clear" w:pos="709"/>
          <w:tab w:val="left" w:pos="1033"/>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 xml:space="preserve">За результатами теоретичного аналізу літератури виокремлено основні підходи до проблеми самоефективності особистості: соціально-когнітивний (самоефективність як усвідомлену здатність протистояти складним ситуаціям, впливати на ефективність діяльності і функціонування особистості в цілому); психоаналітичний (самоефективність як особистісну властивість, що містить не лише кількісний аспект, а й якісний; прагнення до самоактуалізації, впевненості людини у здатності підтримувати власну мотивацію, мобілізувати когнітивні ресурси та здійснювати дії, які необхідні для </w:t>
      </w:r>
      <w:r w:rsidRPr="00F85D2E">
        <w:rPr>
          <w:rFonts w:ascii="Times New Roman" w:eastAsia="Times New Roman" w:hAnsi="Times New Roman" w:cs="Times New Roman"/>
          <w:color w:val="000000"/>
          <w:kern w:val="0"/>
          <w:sz w:val="28"/>
          <w:szCs w:val="28"/>
          <w:lang w:val="uk-UA" w:eastAsia="ru-RU" w:bidi="ru-RU"/>
        </w:rPr>
        <w:t xml:space="preserve">контролю </w:t>
      </w:r>
      <w:r w:rsidRPr="00F85D2E">
        <w:rPr>
          <w:rFonts w:ascii="Times New Roman" w:eastAsia="Times New Roman" w:hAnsi="Times New Roman" w:cs="Times New Roman"/>
          <w:color w:val="000000"/>
          <w:kern w:val="0"/>
          <w:sz w:val="28"/>
          <w:szCs w:val="28"/>
          <w:lang w:val="uk-UA" w:eastAsia="uk-UA" w:bidi="uk-UA"/>
        </w:rPr>
        <w:t xml:space="preserve">над певними подіями; біхевіористичний (самоефективність залежить від сприятливих (несприятливих </w:t>
      </w:r>
      <w:r w:rsidRPr="00F85D2E">
        <w:rPr>
          <w:rFonts w:ascii="Times New Roman" w:eastAsia="Times New Roman" w:hAnsi="Times New Roman" w:cs="Times New Roman"/>
          <w:color w:val="000000"/>
          <w:kern w:val="0"/>
          <w:sz w:val="28"/>
          <w:szCs w:val="28"/>
          <w:lang w:val="uk-UA" w:eastAsia="ru-RU" w:bidi="ru-RU"/>
        </w:rPr>
        <w:t xml:space="preserve">умов </w:t>
      </w:r>
      <w:r w:rsidRPr="00F85D2E">
        <w:rPr>
          <w:rFonts w:ascii="Times New Roman" w:eastAsia="Times New Roman" w:hAnsi="Times New Roman" w:cs="Times New Roman"/>
          <w:color w:val="000000"/>
          <w:kern w:val="0"/>
          <w:sz w:val="28"/>
          <w:szCs w:val="28"/>
          <w:lang w:val="uk-UA" w:eastAsia="uk-UA" w:bidi="uk-UA"/>
        </w:rPr>
        <w:t>довкілля), що сприяють досягнути успіху); суб'єктний (самоефективність як власна активність людини, її здатність до самостійного вибору напряму самовизначення, саморозвитку, самореалізації та ін.); вчинковий (самоефективність розглядають у зв’язку з аналізом вчинку, щодо дозволяє виявити і реалізувати свій потенціал, досягнути максимально можливого на рівні розвитку власної психіки і себе як її суб’єкта); компетентнісний (самоефективність як властивість особистості, що характеризує її здатність управляти власним розвитком і діяльністю задля ефективного досягнення визначених завдань; здатність особистості до самостійного вибору напрямку самореалізації, формування позитивних аспектів психології особистості); акмеологічний (самоефективність як переконання людини щодо здатності знаходити своє місце у соціумі, самостійно управляти власною поведінкою та розвитком з метою бути продуктивною особистістю, досягнути вершин «акме»); особистісно- діяльніший як підструктура свідомості, когнітивний механізм пов’язаний з самооцінкою, ступенем впевненості в успішному розв’язанні певних завдань, реалізації діяльності, самоставленням, рефлексією тощо); технологічний (самоефективність як «внутрішньої» психологічної детермінанти розвитку організаційної культури особистості) та ін.</w:t>
      </w:r>
    </w:p>
    <w:p w:rsidR="00F85D2E" w:rsidRPr="00F85D2E" w:rsidRDefault="00F85D2E" w:rsidP="00F85D2E">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В якості базового запропоновано акмеологічний підхід, у межах якого самоефективність розглядаємо як важливий чинник досягнення майбутніми соціальними фахівцями професійного «акме» у процесі роботи. Самоефективність при цьому вивчаємо з огляду на можливість її розвитку в спеціально організованому психологічному навчанні.</w:t>
      </w:r>
    </w:p>
    <w:p w:rsidR="00F85D2E" w:rsidRPr="00F85D2E" w:rsidRDefault="00F85D2E" w:rsidP="00F85D2E">
      <w:pPr>
        <w:numPr>
          <w:ilvl w:val="0"/>
          <w:numId w:val="24"/>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Визначено самоефективність майбутнього фахівця соціальних служб як упевненість (внутрішні переконання), віру і здатність до професійної самореалізації фахівця у сфері соціальних служб і надання соціальних послуг різним категоріям населення</w:t>
      </w:r>
    </w:p>
    <w:p w:rsidR="00F85D2E" w:rsidRPr="00F85D2E" w:rsidRDefault="00F85D2E" w:rsidP="00F85D2E">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Виокремлено складові самоефективності майбутніх фахівців соціальних служб: гностично-рефлексивну (критерій - обізнаність щодо сутності самоефективності, шляхів її розвитку та ролі у майбутній професійній діяльності, показники - рефлексивність; чіткі уявлення щодо самоефективності та її ролі у діяльності соціального працівника; знання складових і показників самоефективності; розуміння можливостей і умов розвитку самоефективності), ціннісно-афективну (критерій - ціннісне ставлення до самоефективності та її розвитку, показники - ціннісне ставлення до самоефективності фахівця соціальної роботи; спрямованість на досягнення успіху у навчально-професійній діяльності; переконання щодо власної цінності, здатності управління подіями), поведінково-регулятивну (критерій - здатність до проявів самоефективності у професійній діяльності, показники - здатність до особистісного зростання; цілеспрямованість; здатність до автономії; здатність до управління середовищем).</w:t>
      </w:r>
    </w:p>
    <w:p w:rsidR="00F85D2E" w:rsidRPr="00F85D2E" w:rsidRDefault="00F85D2E" w:rsidP="00F85D2E">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 xml:space="preserve">Виокремлено проблеми розвитку самоефективності майбутніх фахівців соціальних служб на </w:t>
      </w:r>
      <w:r w:rsidRPr="00F85D2E">
        <w:rPr>
          <w:rFonts w:ascii="Times New Roman" w:eastAsia="Times New Roman" w:hAnsi="Times New Roman" w:cs="Times New Roman"/>
          <w:color w:val="000000"/>
          <w:kern w:val="0"/>
          <w:sz w:val="28"/>
          <w:szCs w:val="28"/>
          <w:lang w:val="uk-UA" w:eastAsia="ru-RU" w:bidi="ru-RU"/>
        </w:rPr>
        <w:t xml:space="preserve">макро- </w:t>
      </w:r>
      <w:r w:rsidRPr="00F85D2E">
        <w:rPr>
          <w:rFonts w:ascii="Times New Roman" w:eastAsia="Times New Roman" w:hAnsi="Times New Roman" w:cs="Times New Roman"/>
          <w:color w:val="000000"/>
          <w:kern w:val="0"/>
          <w:sz w:val="28"/>
          <w:szCs w:val="28"/>
          <w:lang w:val="uk-UA" w:eastAsia="uk-UA" w:bidi="uk-UA"/>
        </w:rPr>
        <w:t>(рівні суспільства), мезо - (рівні соціальних служб і підготовки їх фахівців), мікро-(рівні особистості) рівнях аналізу.</w:t>
      </w:r>
    </w:p>
    <w:p w:rsidR="00F85D2E" w:rsidRPr="00F85D2E" w:rsidRDefault="00F85D2E" w:rsidP="00F85D2E">
      <w:pPr>
        <w:numPr>
          <w:ilvl w:val="0"/>
          <w:numId w:val="24"/>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За результатами емпіричного дослідження виявлено рівні та особливості розвитку самоефективності майбутніх фахівців соціальних служб. Установлено недостатній рівень розвитку самоефективності та її складових у переважної кількості досліджуваних майбутніх фахівців соціальних служб. Особливо проблемною є поведінково-регулятивна складова, високий рівень якої визначено лише у кожного дванадцятого майбутнього фахівця соціальних служб.</w:t>
      </w:r>
    </w:p>
    <w:p w:rsidR="00F85D2E" w:rsidRPr="00F85D2E" w:rsidRDefault="00F85D2E" w:rsidP="00F85D2E">
      <w:pPr>
        <w:tabs>
          <w:tab w:val="clear" w:pos="709"/>
          <w:tab w:val="left" w:pos="2727"/>
          <w:tab w:val="left" w:pos="5026"/>
          <w:tab w:val="left" w:pos="7052"/>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Констатовано</w:t>
      </w:r>
      <w:r w:rsidRPr="00F85D2E">
        <w:rPr>
          <w:rFonts w:ascii="Times New Roman" w:eastAsia="Times New Roman" w:hAnsi="Times New Roman" w:cs="Times New Roman"/>
          <w:color w:val="000000"/>
          <w:kern w:val="0"/>
          <w:sz w:val="28"/>
          <w:szCs w:val="28"/>
          <w:lang w:val="uk-UA" w:eastAsia="uk-UA" w:bidi="uk-UA"/>
        </w:rPr>
        <w:tab/>
        <w:t>гендерно-вікові</w:t>
      </w:r>
      <w:r w:rsidRPr="00F85D2E">
        <w:rPr>
          <w:rFonts w:ascii="Times New Roman" w:eastAsia="Times New Roman" w:hAnsi="Times New Roman" w:cs="Times New Roman"/>
          <w:color w:val="000000"/>
          <w:kern w:val="0"/>
          <w:sz w:val="28"/>
          <w:szCs w:val="28"/>
          <w:lang w:val="uk-UA" w:eastAsia="uk-UA" w:bidi="uk-UA"/>
        </w:rPr>
        <w:tab/>
        <w:t>(стать, вік),</w:t>
      </w:r>
      <w:r w:rsidRPr="00F85D2E">
        <w:rPr>
          <w:rFonts w:ascii="Times New Roman" w:eastAsia="Times New Roman" w:hAnsi="Times New Roman" w:cs="Times New Roman"/>
          <w:color w:val="000000"/>
          <w:kern w:val="0"/>
          <w:sz w:val="28"/>
          <w:szCs w:val="28"/>
          <w:lang w:val="uk-UA" w:eastAsia="uk-UA" w:bidi="uk-UA"/>
        </w:rPr>
        <w:tab/>
        <w:t>освітньо-професійні</w:t>
      </w:r>
    </w:p>
    <w:p w:rsidR="00F85D2E" w:rsidRPr="00F85D2E" w:rsidRDefault="00F85D2E" w:rsidP="00F85D2E">
      <w:pPr>
        <w:tabs>
          <w:tab w:val="clear" w:pos="709"/>
          <w:tab w:val="left" w:pos="2300"/>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(спеціалізація, курс навчання) та демографічні особливості розвитку самоефективності майбутніх фахівців соціальних служб. Щодо гендерно- вікових характеристик констатовано вищі показники самоефективності у досліджуваних: старших за віком. При цьому жінки характеризуються більшою обізнаністю з питань самоефективності та її ролі в діяльності фахівця соціальних служб, краще аналізують проблемні ситуації навчально- професійної діяльності, що потребують проявів самоефективності. Для чоловіків же</w:t>
      </w:r>
      <w:r w:rsidRPr="00F85D2E">
        <w:rPr>
          <w:rFonts w:ascii="Times New Roman" w:eastAsia="Times New Roman" w:hAnsi="Times New Roman" w:cs="Times New Roman"/>
          <w:color w:val="000000"/>
          <w:kern w:val="0"/>
          <w:sz w:val="28"/>
          <w:szCs w:val="28"/>
          <w:lang w:val="uk-UA" w:eastAsia="uk-UA" w:bidi="uk-UA"/>
        </w:rPr>
        <w:tab/>
        <w:t>більше схвалюється самостійність, ініціативність,</w:t>
      </w:r>
    </w:p>
    <w:p w:rsidR="00F85D2E" w:rsidRPr="00F85D2E" w:rsidRDefault="00F85D2E" w:rsidP="00F85D2E">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підкріплюються норми «антиемоційності», що й зумовлює їх більшу автономію і самоконтроль.</w:t>
      </w:r>
    </w:p>
    <w:p w:rsidR="00F85D2E" w:rsidRPr="00F85D2E" w:rsidRDefault="00F85D2E" w:rsidP="00F85D2E">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Щодо освітньо-професійних характеристик досліджуваних виявлено відмінності в рівнях самоефективності досліджуваних майбутніх фахівців залежно від їх спеціалізації: в соціальних педагогів вищі показники самоефективності ніж у фахівців із соціальної роботи, а також в тих, з них, в яких наявний досвід діяльності у сфері соціальної служби порівняно з тими, у кого такий досвід відсутній.</w:t>
      </w:r>
    </w:p>
    <w:p w:rsidR="00F85D2E" w:rsidRPr="00F85D2E" w:rsidRDefault="00F85D2E" w:rsidP="00F85D2E">
      <w:pPr>
        <w:tabs>
          <w:tab w:val="clear" w:pos="709"/>
          <w:tab w:val="left" w:pos="2300"/>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Стосовно</w:t>
      </w:r>
      <w:r w:rsidRPr="00F85D2E">
        <w:rPr>
          <w:rFonts w:ascii="Times New Roman" w:eastAsia="Times New Roman" w:hAnsi="Times New Roman" w:cs="Times New Roman"/>
          <w:color w:val="000000"/>
          <w:kern w:val="0"/>
          <w:sz w:val="28"/>
          <w:szCs w:val="28"/>
          <w:lang w:val="uk-UA" w:eastAsia="uk-UA" w:bidi="uk-UA"/>
        </w:rPr>
        <w:tab/>
        <w:t>демографічних характеристик (місця проживання</w:t>
      </w:r>
    </w:p>
    <w:p w:rsidR="00F85D2E" w:rsidRPr="00F85D2E" w:rsidRDefault="00F85D2E" w:rsidP="00F85D2E">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досліджуваних) установлено вищі показники самоефективності майбутніх фахівців жіночої статі, які проживають в селі та чоловічої статі, які проживають у місті.</w:t>
      </w:r>
    </w:p>
    <w:p w:rsidR="00F85D2E" w:rsidRPr="00F85D2E" w:rsidRDefault="00F85D2E" w:rsidP="00F85D2E">
      <w:pPr>
        <w:numPr>
          <w:ilvl w:val="0"/>
          <w:numId w:val="24"/>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F85D2E">
        <w:rPr>
          <w:rFonts w:ascii="Times New Roman" w:eastAsia="Times New Roman" w:hAnsi="Times New Roman" w:cs="Times New Roman"/>
          <w:color w:val="000000"/>
          <w:kern w:val="0"/>
          <w:sz w:val="28"/>
          <w:szCs w:val="28"/>
          <w:lang w:val="uk-UA" w:eastAsia="uk-UA" w:bidi="uk-UA"/>
        </w:rPr>
        <w:t>Розроблено програму розвитку самоефективності майбутніх фахівців соціальних служб, реалізовану у форматі тренінгу, що складається з 3 сесій. Перша сесія спрямована на поглиблення обізнаності щодо сутності самоефективності, шляхів її розвитку та ролі у майбутній професійній діяльності. Друга - на формування ціннісного ставлення до самоефективності та розвитку спрямованості на досягнення успіху у навчально-професійній діяльності, здатності управління подіями. Третя - забезпечує здатність до прояву самоефективності у професійній діяльності завдяки впевненості у своїй здатності бути успішним у сфері соціальних служб. Апробація програми засвідчила її ефективність і доцільність щодо розвитку самоефективності майбутніх фахівців соціальних служб.</w:t>
      </w:r>
    </w:p>
    <w:p w:rsidR="00F85D2E" w:rsidRPr="00F85D2E" w:rsidRDefault="00F85D2E" w:rsidP="00F85D2E">
      <w:pPr>
        <w:rPr>
          <w:lang w:val="uk-UA"/>
        </w:rPr>
      </w:pPr>
      <w:r w:rsidRPr="00F85D2E">
        <w:rPr>
          <w:rFonts w:ascii="Arial Unicode MS" w:eastAsia="Arial Unicode MS" w:hAnsi="Arial Unicode MS" w:cs="Arial Unicode MS"/>
          <w:color w:val="000000"/>
          <w:kern w:val="0"/>
          <w:sz w:val="24"/>
          <w:szCs w:val="24"/>
          <w:lang w:val="uk-UA" w:eastAsia="uk-UA" w:bidi="uk-UA"/>
        </w:rPr>
        <w:t>Проведене дослідження не вичерпує всіх аспектів проблеми розвитку самоефективності фахівців соціальних служб. У перспективі актуальним уявляється дослідження самоефективності працюючих фахівців соціальних служб. Важливо також дослідити психологічну готовність викладачів закладів вищої освіти до розвитку самоефективності майбутніх фахівців соціальних служб.</w:t>
      </w:r>
    </w:p>
    <w:sectPr w:rsidR="00F85D2E" w:rsidRPr="00F85D2E"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AF3882">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AF3882">
                <w:pPr>
                  <w:spacing w:line="240" w:lineRule="auto"/>
                </w:pPr>
                <w:fldSimple w:instr=" PAGE \* MERGEFORMAT ">
                  <w:r w:rsidR="00C6020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AF3882">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AF3882">
                <w:pPr>
                  <w:spacing w:line="240" w:lineRule="auto"/>
                </w:pPr>
                <w:fldSimple w:instr=" PAGE \* MERGEFORMAT ">
                  <w:r w:rsidR="00F85D2E" w:rsidRPr="00F85D2E">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AF3882">
      <w:pPr>
        <w:rPr>
          <w:sz w:val="2"/>
          <w:szCs w:val="2"/>
        </w:rPr>
      </w:pPr>
      <w:r w:rsidRPr="00AF388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AF3882">
                  <w:pPr>
                    <w:spacing w:line="240" w:lineRule="auto"/>
                  </w:pPr>
                  <w:fldSimple w:instr=" PAGE \* MERGEFORMAT ">
                    <w:r w:rsidR="00C60205"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AF3882">
      <w:pPr>
        <w:rPr>
          <w:sz w:val="2"/>
          <w:szCs w:val="2"/>
        </w:rPr>
      </w:pPr>
      <w:r w:rsidRPr="00AF388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AF3882">
                  <w:pPr>
                    <w:pStyle w:val="1ffffff7"/>
                    <w:spacing w:line="240" w:lineRule="auto"/>
                  </w:pPr>
                  <w:fldSimple w:instr=" PAGE \* MERGEFORMAT ">
                    <w:r w:rsidR="00C60205"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7340C9"/>
    <w:multiLevelType w:val="multilevel"/>
    <w:tmpl w:val="33E2C7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2734E1F"/>
    <w:multiLevelType w:val="multilevel"/>
    <w:tmpl w:val="83EC7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6584748"/>
    <w:multiLevelType w:val="multilevel"/>
    <w:tmpl w:val="D31C6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50713CF"/>
    <w:multiLevelType w:val="multilevel"/>
    <w:tmpl w:val="342268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F501905"/>
    <w:multiLevelType w:val="multilevel"/>
    <w:tmpl w:val="375E67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086035C"/>
    <w:multiLevelType w:val="multilevel"/>
    <w:tmpl w:val="14901D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29C2284"/>
    <w:multiLevelType w:val="multilevel"/>
    <w:tmpl w:val="927E4DE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9">
    <w:nsid w:val="46E32C09"/>
    <w:multiLevelType w:val="multilevel"/>
    <w:tmpl w:val="35485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996714"/>
    <w:multiLevelType w:val="multilevel"/>
    <w:tmpl w:val="86784E2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0C42806"/>
    <w:multiLevelType w:val="multilevel"/>
    <w:tmpl w:val="468AA8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91A0CB3"/>
    <w:multiLevelType w:val="multilevel"/>
    <w:tmpl w:val="A642D6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B882BB0"/>
    <w:multiLevelType w:val="multilevel"/>
    <w:tmpl w:val="75E2F0B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F4514AE"/>
    <w:multiLevelType w:val="multilevel"/>
    <w:tmpl w:val="1BA02B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AC7C52"/>
    <w:multiLevelType w:val="multilevel"/>
    <w:tmpl w:val="56BCD0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AE249E"/>
    <w:multiLevelType w:val="multilevel"/>
    <w:tmpl w:val="E37467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8">
    <w:nsid w:val="78DB4999"/>
    <w:multiLevelType w:val="multilevel"/>
    <w:tmpl w:val="514AF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68603E"/>
    <w:multiLevelType w:val="multilevel"/>
    <w:tmpl w:val="D8DADA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E34AFB"/>
    <w:multiLevelType w:val="multilevel"/>
    <w:tmpl w:val="9FA04B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D7F3851"/>
    <w:multiLevelType w:val="multilevel"/>
    <w:tmpl w:val="95F2D8F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94"/>
  </w:num>
  <w:num w:numId="8">
    <w:abstractNumId w:val="82"/>
  </w:num>
  <w:num w:numId="9">
    <w:abstractNumId w:val="89"/>
  </w:num>
  <w:num w:numId="10">
    <w:abstractNumId w:val="84"/>
  </w:num>
  <w:num w:numId="11">
    <w:abstractNumId w:val="101"/>
  </w:num>
  <w:num w:numId="12">
    <w:abstractNumId w:val="93"/>
  </w:num>
  <w:num w:numId="13">
    <w:abstractNumId w:val="100"/>
  </w:num>
  <w:num w:numId="14">
    <w:abstractNumId w:val="86"/>
  </w:num>
  <w:num w:numId="15">
    <w:abstractNumId w:val="90"/>
  </w:num>
  <w:num w:numId="16">
    <w:abstractNumId w:val="99"/>
  </w:num>
  <w:num w:numId="17">
    <w:abstractNumId w:val="91"/>
  </w:num>
  <w:num w:numId="18">
    <w:abstractNumId w:val="92"/>
  </w:num>
  <w:num w:numId="19">
    <w:abstractNumId w:val="87"/>
  </w:num>
  <w:num w:numId="20">
    <w:abstractNumId w:val="85"/>
  </w:num>
  <w:num w:numId="21">
    <w:abstractNumId w:val="98"/>
  </w:num>
  <w:num w:numId="22">
    <w:abstractNumId w:val="76"/>
  </w:num>
  <w:num w:numId="23">
    <w:abstractNumId w:val="96"/>
  </w:num>
  <w:num w:numId="24">
    <w:abstractNumId w:val="8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F0BBF-051E-4DAD-9EAD-27B318A7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2021-10-03T17:31:00Z</dcterms:created>
  <dcterms:modified xsi:type="dcterms:W3CDTF">2021-10-03T17:32:00Z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