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0" w:type="dxa"/>
        <w:tblCellSpacing w:w="0" w:type="dxa"/>
        <w:tblCellMar>
          <w:left w:w="0" w:type="dxa"/>
          <w:right w:w="0" w:type="dxa"/>
        </w:tblCellMar>
        <w:tblLook w:val="04A0" w:firstRow="1" w:lastRow="0" w:firstColumn="1" w:lastColumn="0" w:noHBand="0" w:noVBand="1"/>
      </w:tblPr>
      <w:tblGrid>
        <w:gridCol w:w="8850"/>
      </w:tblGrid>
      <w:tr w:rsidR="006E41EF" w14:paraId="7E69F669" w14:textId="77777777" w:rsidTr="006E41EF">
        <w:trPr>
          <w:trHeight w:val="1450"/>
          <w:tblCellSpacing w:w="0" w:type="dxa"/>
        </w:trPr>
        <w:tc>
          <w:tcPr>
            <w:tcW w:w="0" w:type="auto"/>
            <w:hideMark/>
          </w:tcPr>
          <w:p w14:paraId="79604CA9" w14:textId="77777777" w:rsidR="006E41EF" w:rsidRDefault="006E41EF">
            <w:pPr>
              <w:ind w:left="580" w:right="580"/>
              <w:rPr>
                <w:rFonts w:ascii="Verdana" w:hAnsi="Verdana"/>
                <w:kern w:val="0"/>
                <w:sz w:val="21"/>
                <w:szCs w:val="21"/>
                <w:lang w:eastAsia="ru-RU"/>
              </w:rPr>
            </w:pPr>
            <w:r>
              <w:rPr>
                <w:rFonts w:ascii="Verdana" w:hAnsi="Verdana"/>
                <w:sz w:val="21"/>
                <w:szCs w:val="21"/>
                <w:lang w:val="uk-UA"/>
              </w:rPr>
              <w:t>НАЦІОНАЛЬНА АКАДЕМІЯ ПЕДАГОГІЧНИХ НАУК УКРАЇНИ ДЕРЖАВНИЙ ВИЩИЙ НАВЧАЛЬНИЙ ЗАКЛАД «УНІВЕРСИТЕТ МЕНЕДЖМЕНТУ ОСВІТИ»</w:t>
            </w:r>
          </w:p>
        </w:tc>
      </w:tr>
    </w:tbl>
    <w:p w14:paraId="421F26A3"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8850" w:type="dxa"/>
        <w:tblCellSpacing w:w="0" w:type="dxa"/>
        <w:tblCellMar>
          <w:left w:w="0" w:type="dxa"/>
          <w:right w:w="0" w:type="dxa"/>
        </w:tblCellMar>
        <w:tblLook w:val="04A0" w:firstRow="1" w:lastRow="0" w:firstColumn="1" w:lastColumn="0" w:noHBand="0" w:noVBand="1"/>
      </w:tblPr>
      <w:tblGrid>
        <w:gridCol w:w="8850"/>
      </w:tblGrid>
      <w:tr w:rsidR="006E41EF" w14:paraId="4139A7B1" w14:textId="77777777" w:rsidTr="006E41EF">
        <w:trPr>
          <w:trHeight w:val="760"/>
          <w:tblCellSpacing w:w="0" w:type="dxa"/>
        </w:trPr>
        <w:tc>
          <w:tcPr>
            <w:tcW w:w="0" w:type="auto"/>
            <w:hideMark/>
          </w:tcPr>
          <w:p w14:paraId="401A04DF" w14:textId="77777777" w:rsidR="006E41EF" w:rsidRDefault="006E41EF">
            <w:pPr>
              <w:spacing w:line="355" w:lineRule="atLeast"/>
              <w:ind w:left="5320" w:right="580"/>
              <w:rPr>
                <w:rFonts w:ascii="Verdana" w:hAnsi="Verdana"/>
                <w:sz w:val="21"/>
                <w:szCs w:val="21"/>
              </w:rPr>
            </w:pPr>
            <w:r>
              <w:rPr>
                <w:rFonts w:ascii="Verdana" w:hAnsi="Verdana"/>
                <w:sz w:val="21"/>
                <w:szCs w:val="21"/>
                <w:lang w:val="uk-UA"/>
              </w:rPr>
              <w:t>Кваліфікаційна наукова праця на правах рукопису</w:t>
            </w:r>
          </w:p>
        </w:tc>
      </w:tr>
    </w:tbl>
    <w:p w14:paraId="5BE3127B"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8850" w:type="dxa"/>
        <w:tblCellSpacing w:w="0" w:type="dxa"/>
        <w:tblCellMar>
          <w:left w:w="0" w:type="dxa"/>
          <w:right w:w="0" w:type="dxa"/>
        </w:tblCellMar>
        <w:tblLook w:val="04A0" w:firstRow="1" w:lastRow="0" w:firstColumn="1" w:lastColumn="0" w:noHBand="0" w:noVBand="1"/>
      </w:tblPr>
      <w:tblGrid>
        <w:gridCol w:w="8850"/>
      </w:tblGrid>
      <w:tr w:rsidR="006E41EF" w14:paraId="5522696C" w14:textId="77777777" w:rsidTr="006E41EF">
        <w:trPr>
          <w:trHeight w:val="320"/>
          <w:tblCellSpacing w:w="0" w:type="dxa"/>
        </w:trPr>
        <w:tc>
          <w:tcPr>
            <w:tcW w:w="0" w:type="auto"/>
            <w:hideMark/>
          </w:tcPr>
          <w:p w14:paraId="3148E914" w14:textId="77777777" w:rsidR="006E41EF" w:rsidRDefault="006E41EF">
            <w:pPr>
              <w:spacing w:before="100" w:beforeAutospacing="1" w:after="100" w:afterAutospacing="1" w:line="260" w:lineRule="atLeast"/>
              <w:ind w:right="40"/>
              <w:jc w:val="center"/>
              <w:rPr>
                <w:rFonts w:ascii="Verdana" w:hAnsi="Verdana"/>
                <w:sz w:val="21"/>
                <w:szCs w:val="21"/>
              </w:rPr>
            </w:pPr>
            <w:r>
              <w:rPr>
                <w:rFonts w:ascii="Verdana" w:hAnsi="Verdana"/>
                <w:sz w:val="21"/>
                <w:szCs w:val="21"/>
                <w:lang w:val="uk-UA"/>
              </w:rPr>
              <w:t>МІРОВСЬКА МАРІОЛА</w:t>
            </w:r>
          </w:p>
        </w:tc>
      </w:tr>
    </w:tbl>
    <w:p w14:paraId="2433472D"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8850" w:type="dxa"/>
        <w:tblCellSpacing w:w="0" w:type="dxa"/>
        <w:tblCellMar>
          <w:left w:w="0" w:type="dxa"/>
          <w:right w:w="0" w:type="dxa"/>
        </w:tblCellMar>
        <w:tblLook w:val="04A0" w:firstRow="1" w:lastRow="0" w:firstColumn="1" w:lastColumn="0" w:noHBand="0" w:noVBand="1"/>
      </w:tblPr>
      <w:tblGrid>
        <w:gridCol w:w="8850"/>
      </w:tblGrid>
      <w:tr w:rsidR="006E41EF" w14:paraId="1859522B" w14:textId="77777777" w:rsidTr="006E41EF">
        <w:trPr>
          <w:trHeight w:val="320"/>
          <w:tblCellSpacing w:w="0" w:type="dxa"/>
        </w:trPr>
        <w:tc>
          <w:tcPr>
            <w:tcW w:w="0" w:type="auto"/>
            <w:hideMark/>
          </w:tcPr>
          <w:p w14:paraId="5E3E5540" w14:textId="77777777" w:rsidR="006E41EF" w:rsidRDefault="006E41EF">
            <w:pPr>
              <w:spacing w:before="100" w:beforeAutospacing="1" w:after="100" w:afterAutospacing="1" w:line="260" w:lineRule="atLeast"/>
              <w:jc w:val="right"/>
              <w:rPr>
                <w:rFonts w:ascii="Verdana" w:hAnsi="Verdana"/>
                <w:sz w:val="21"/>
                <w:szCs w:val="21"/>
              </w:rPr>
            </w:pPr>
            <w:r>
              <w:rPr>
                <w:rFonts w:ascii="Verdana" w:hAnsi="Verdana"/>
                <w:sz w:val="21"/>
                <w:szCs w:val="21"/>
                <w:lang w:val="uk-UA"/>
              </w:rPr>
              <w:t>УДК. 378.37.316.001</w:t>
            </w:r>
          </w:p>
        </w:tc>
      </w:tr>
    </w:tbl>
    <w:p w14:paraId="35B1EDE6"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8850" w:type="dxa"/>
        <w:tblCellSpacing w:w="0" w:type="dxa"/>
        <w:tblCellMar>
          <w:left w:w="0" w:type="dxa"/>
          <w:right w:w="0" w:type="dxa"/>
        </w:tblCellMar>
        <w:tblLook w:val="04A0" w:firstRow="1" w:lastRow="0" w:firstColumn="1" w:lastColumn="0" w:noHBand="0" w:noVBand="1"/>
      </w:tblPr>
      <w:tblGrid>
        <w:gridCol w:w="8850"/>
      </w:tblGrid>
      <w:tr w:rsidR="006E41EF" w14:paraId="6724989F" w14:textId="77777777" w:rsidTr="006E41EF">
        <w:trPr>
          <w:trHeight w:val="6520"/>
          <w:tblCellSpacing w:w="0" w:type="dxa"/>
        </w:trPr>
        <w:tc>
          <w:tcPr>
            <w:tcW w:w="0" w:type="auto"/>
            <w:hideMark/>
          </w:tcPr>
          <w:p w14:paraId="060065D4" w14:textId="77777777" w:rsidR="006E41EF" w:rsidRDefault="006E41EF">
            <w:pPr>
              <w:spacing w:after="0"/>
              <w:ind w:right="163"/>
              <w:rPr>
                <w:rFonts w:ascii="Verdana" w:hAnsi="Verdana"/>
                <w:sz w:val="21"/>
                <w:szCs w:val="21"/>
              </w:rPr>
            </w:pPr>
            <w:r>
              <w:rPr>
                <w:rFonts w:ascii="Verdana" w:hAnsi="Verdana"/>
                <w:sz w:val="21"/>
                <w:szCs w:val="21"/>
                <w:lang w:val="uk-UA"/>
              </w:rPr>
              <w:t>ДИСЕРТАЦІЯ</w:t>
            </w:r>
          </w:p>
          <w:p w14:paraId="584F1E40" w14:textId="77777777" w:rsidR="006E41EF" w:rsidRDefault="006E41EF">
            <w:pPr>
              <w:spacing w:after="505"/>
              <w:ind w:left="180" w:right="40" w:firstLine="400"/>
              <w:rPr>
                <w:rFonts w:ascii="Verdana" w:hAnsi="Verdana"/>
                <w:sz w:val="21"/>
                <w:szCs w:val="21"/>
              </w:rPr>
            </w:pPr>
            <w:r>
              <w:rPr>
                <w:rFonts w:ascii="Verdana" w:hAnsi="Verdana"/>
                <w:sz w:val="21"/>
                <w:szCs w:val="21"/>
                <w:lang w:val="uk-UA"/>
              </w:rPr>
              <w:t>ТЕОРІЯ І ПРАКТИКА УПРАВЛІННЯ ОСВІТНІМ ПРОЦЕСОМ НА</w:t>
            </w:r>
            <w:r>
              <w:rPr>
                <w:rFonts w:ascii="Verdana" w:hAnsi="Verdana"/>
                <w:sz w:val="21"/>
                <w:szCs w:val="21"/>
                <w:lang w:val="uk-UA"/>
              </w:rPr>
              <w:br/>
              <w:t>ОСНОВІ КЕЙС-МЕНЕДЖМЕНТУ В ЗАКЛАДАХ ВИЩОЇ ОСВІТИ</w:t>
            </w:r>
          </w:p>
          <w:p w14:paraId="6E486BD7" w14:textId="77777777" w:rsidR="006E41EF" w:rsidRDefault="006E41EF">
            <w:pPr>
              <w:spacing w:after="496" w:line="355" w:lineRule="atLeast"/>
              <w:ind w:left="2600" w:right="1840"/>
              <w:rPr>
                <w:rFonts w:ascii="Verdana" w:hAnsi="Verdana"/>
                <w:sz w:val="21"/>
                <w:szCs w:val="21"/>
              </w:rPr>
            </w:pPr>
            <w:r>
              <w:rPr>
                <w:rFonts w:ascii="Verdana" w:hAnsi="Verdana"/>
                <w:sz w:val="21"/>
                <w:szCs w:val="21"/>
                <w:lang w:val="uk-UA"/>
              </w:rPr>
              <w:t>13.00.06 - теорія і методика управління освітою</w:t>
            </w:r>
            <w:r>
              <w:rPr>
                <w:rFonts w:ascii="Verdana" w:hAnsi="Verdana"/>
                <w:sz w:val="21"/>
                <w:szCs w:val="21"/>
                <w:lang w:val="uk-UA"/>
              </w:rPr>
              <w:br/>
              <w:t>освітні, педагогічні науки)</w:t>
            </w:r>
          </w:p>
          <w:p w14:paraId="6B5E1B34" w14:textId="77777777" w:rsidR="006E41EF" w:rsidRDefault="006E41EF">
            <w:pPr>
              <w:spacing w:before="100" w:beforeAutospacing="1" w:after="271" w:line="260" w:lineRule="atLeast"/>
              <w:rPr>
                <w:rFonts w:ascii="Verdana" w:hAnsi="Verdana"/>
                <w:sz w:val="21"/>
                <w:szCs w:val="21"/>
              </w:rPr>
            </w:pPr>
            <w:r>
              <w:rPr>
                <w:rFonts w:ascii="Verdana" w:hAnsi="Verdana"/>
                <w:sz w:val="21"/>
                <w:szCs w:val="21"/>
                <w:lang w:val="uk-UA"/>
              </w:rPr>
              <w:t>Подається на здобуття наукового ступеня доктора педагогічних наук</w:t>
            </w:r>
          </w:p>
          <w:p w14:paraId="14467CB9" w14:textId="77777777" w:rsidR="006E41EF" w:rsidRDefault="006E41EF">
            <w:pPr>
              <w:spacing w:before="100" w:beforeAutospacing="1" w:after="376" w:line="355" w:lineRule="atLeast"/>
              <w:rPr>
                <w:rFonts w:ascii="Verdana" w:hAnsi="Verdana"/>
                <w:sz w:val="21"/>
                <w:szCs w:val="21"/>
              </w:rPr>
            </w:pPr>
            <w:r>
              <w:rPr>
                <w:rFonts w:ascii="Verdana" w:hAnsi="Verdana"/>
                <w:sz w:val="21"/>
                <w:szCs w:val="21"/>
                <w:lang w:val="uk-UA"/>
              </w:rPr>
              <w:t>Дисертація містить результати власних досліджень. Використання ідей,</w:t>
            </w:r>
            <w:r>
              <w:rPr>
                <w:rFonts w:ascii="Verdana" w:hAnsi="Verdana"/>
                <w:sz w:val="21"/>
                <w:szCs w:val="21"/>
                <w:lang w:val="uk-UA"/>
              </w:rPr>
              <w:br/>
              <w:t>результатів і текстів інших авторів мають посилання на відповідне джерело</w:t>
            </w:r>
          </w:p>
          <w:p w14:paraId="6F2B8F29" w14:textId="77777777" w:rsidR="006E41EF" w:rsidRDefault="006E41EF">
            <w:pPr>
              <w:spacing w:after="366" w:line="260" w:lineRule="atLeast"/>
              <w:ind w:left="1814"/>
              <w:rPr>
                <w:rFonts w:ascii="Verdana" w:hAnsi="Verdana"/>
                <w:sz w:val="21"/>
                <w:szCs w:val="21"/>
              </w:rPr>
            </w:pPr>
            <w:proofErr w:type="spellStart"/>
            <w:r>
              <w:rPr>
                <w:rFonts w:ascii="Verdana" w:hAnsi="Verdana"/>
                <w:sz w:val="21"/>
                <w:szCs w:val="21"/>
                <w:lang w:val="uk-UA"/>
              </w:rPr>
              <w:t>Маріола</w:t>
            </w:r>
            <w:proofErr w:type="spellEnd"/>
            <w:r>
              <w:rPr>
                <w:rFonts w:ascii="Verdana" w:hAnsi="Verdana"/>
                <w:sz w:val="21"/>
                <w:szCs w:val="21"/>
                <w:lang w:val="uk-UA"/>
              </w:rPr>
              <w:t xml:space="preserve"> </w:t>
            </w:r>
            <w:proofErr w:type="spellStart"/>
            <w:r>
              <w:rPr>
                <w:rFonts w:ascii="Verdana" w:hAnsi="Verdana"/>
                <w:sz w:val="21"/>
                <w:szCs w:val="21"/>
                <w:lang w:val="uk-UA"/>
              </w:rPr>
              <w:t>Міровська</w:t>
            </w:r>
            <w:proofErr w:type="spellEnd"/>
          </w:p>
          <w:p w14:paraId="751FFC72" w14:textId="77777777" w:rsidR="006E41EF" w:rsidRDefault="006E41EF">
            <w:pPr>
              <w:spacing w:before="100" w:beforeAutospacing="1" w:after="100" w:afterAutospacing="1"/>
              <w:ind w:right="460"/>
              <w:jc w:val="right"/>
              <w:rPr>
                <w:rFonts w:ascii="Verdana" w:hAnsi="Verdana"/>
                <w:sz w:val="21"/>
                <w:szCs w:val="21"/>
              </w:rPr>
            </w:pPr>
            <w:r>
              <w:rPr>
                <w:rFonts w:ascii="Verdana" w:hAnsi="Verdana"/>
                <w:sz w:val="21"/>
                <w:szCs w:val="21"/>
                <w:lang w:val="uk-UA"/>
              </w:rPr>
              <w:t>Науковий консультант: </w:t>
            </w:r>
            <w:proofErr w:type="spellStart"/>
            <w:r w:rsidRPr="006E41EF">
              <w:rPr>
                <w:rStyle w:val="201"/>
                <w:rFonts w:ascii="Verdana" w:hAnsi="Verdana"/>
                <w:sz w:val="26"/>
                <w:szCs w:val="26"/>
              </w:rPr>
              <w:t>Олійник</w:t>
            </w:r>
            <w:proofErr w:type="spellEnd"/>
            <w:r w:rsidRPr="006E41EF">
              <w:rPr>
                <w:rStyle w:val="201"/>
                <w:rFonts w:ascii="Verdana" w:hAnsi="Verdana"/>
                <w:sz w:val="26"/>
                <w:szCs w:val="26"/>
              </w:rPr>
              <w:t xml:space="preserve"> </w:t>
            </w:r>
            <w:proofErr w:type="spellStart"/>
            <w:r w:rsidRPr="006E41EF">
              <w:rPr>
                <w:rStyle w:val="201"/>
                <w:rFonts w:ascii="Verdana" w:hAnsi="Verdana"/>
                <w:sz w:val="26"/>
                <w:szCs w:val="26"/>
              </w:rPr>
              <w:t>Віктор</w:t>
            </w:r>
            <w:proofErr w:type="spellEnd"/>
            <w:r w:rsidRPr="006E41EF">
              <w:rPr>
                <w:rStyle w:val="201"/>
                <w:rFonts w:ascii="Verdana" w:hAnsi="Verdana"/>
                <w:sz w:val="26"/>
                <w:szCs w:val="26"/>
              </w:rPr>
              <w:t xml:space="preserve"> </w:t>
            </w:r>
            <w:proofErr w:type="spellStart"/>
            <w:r w:rsidRPr="006E41EF">
              <w:rPr>
                <w:rStyle w:val="201"/>
                <w:rFonts w:ascii="Verdana" w:hAnsi="Verdana"/>
                <w:sz w:val="26"/>
                <w:szCs w:val="26"/>
              </w:rPr>
              <w:t>Васильович</w:t>
            </w:r>
            <w:proofErr w:type="spellEnd"/>
            <w:r w:rsidRPr="006E41EF">
              <w:rPr>
                <w:rStyle w:val="201"/>
                <w:rFonts w:ascii="Verdana" w:hAnsi="Verdana"/>
                <w:sz w:val="26"/>
                <w:szCs w:val="26"/>
              </w:rPr>
              <w:t xml:space="preserve">, доктор </w:t>
            </w:r>
            <w:proofErr w:type="spellStart"/>
            <w:r w:rsidRPr="006E41EF">
              <w:rPr>
                <w:rStyle w:val="201"/>
                <w:rFonts w:ascii="Verdana" w:hAnsi="Verdana"/>
                <w:sz w:val="26"/>
                <w:szCs w:val="26"/>
              </w:rPr>
              <w:t>педагогічних</w:t>
            </w:r>
            <w:proofErr w:type="spellEnd"/>
            <w:r w:rsidRPr="006E41EF">
              <w:rPr>
                <w:rFonts w:ascii="Verdana" w:hAnsi="Verdana"/>
                <w:sz w:val="26"/>
                <w:szCs w:val="26"/>
              </w:rPr>
              <w:br/>
            </w:r>
            <w:r w:rsidRPr="006E41EF">
              <w:rPr>
                <w:rStyle w:val="201"/>
                <w:rFonts w:ascii="Verdana" w:hAnsi="Verdana"/>
                <w:sz w:val="26"/>
                <w:szCs w:val="26"/>
              </w:rPr>
              <w:t xml:space="preserve">наук, </w:t>
            </w:r>
            <w:proofErr w:type="spellStart"/>
            <w:r w:rsidRPr="006E41EF">
              <w:rPr>
                <w:rStyle w:val="201"/>
                <w:rFonts w:ascii="Verdana" w:hAnsi="Verdana"/>
                <w:sz w:val="26"/>
                <w:szCs w:val="26"/>
              </w:rPr>
              <w:t>професор</w:t>
            </w:r>
            <w:proofErr w:type="spellEnd"/>
            <w:r w:rsidRPr="006E41EF">
              <w:rPr>
                <w:rStyle w:val="201"/>
                <w:rFonts w:ascii="Verdana" w:hAnsi="Verdana"/>
                <w:sz w:val="26"/>
                <w:szCs w:val="26"/>
              </w:rPr>
              <w:t xml:space="preserve">, </w:t>
            </w:r>
            <w:proofErr w:type="spellStart"/>
            <w:r w:rsidRPr="006E41EF">
              <w:rPr>
                <w:rStyle w:val="201"/>
                <w:rFonts w:ascii="Verdana" w:hAnsi="Verdana"/>
                <w:sz w:val="26"/>
                <w:szCs w:val="26"/>
              </w:rPr>
              <w:t>дійсний</w:t>
            </w:r>
            <w:proofErr w:type="spellEnd"/>
            <w:r w:rsidRPr="006E41EF">
              <w:rPr>
                <w:rStyle w:val="201"/>
                <w:rFonts w:ascii="Verdana" w:hAnsi="Verdana"/>
                <w:sz w:val="26"/>
                <w:szCs w:val="26"/>
              </w:rPr>
              <w:t xml:space="preserve"> член (</w:t>
            </w:r>
            <w:proofErr w:type="spellStart"/>
            <w:r w:rsidRPr="006E41EF">
              <w:rPr>
                <w:rStyle w:val="201"/>
                <w:rFonts w:ascii="Verdana" w:hAnsi="Verdana"/>
                <w:sz w:val="26"/>
                <w:szCs w:val="26"/>
              </w:rPr>
              <w:t>академік</w:t>
            </w:r>
            <w:proofErr w:type="spellEnd"/>
            <w:r w:rsidRPr="006E41EF">
              <w:rPr>
                <w:rStyle w:val="201"/>
                <w:rFonts w:ascii="Verdana" w:hAnsi="Verdana"/>
                <w:sz w:val="26"/>
                <w:szCs w:val="26"/>
              </w:rPr>
              <w:t xml:space="preserve">) НАПН </w:t>
            </w:r>
            <w:proofErr w:type="spellStart"/>
            <w:r w:rsidRPr="006E41EF">
              <w:rPr>
                <w:rStyle w:val="201"/>
                <w:rFonts w:ascii="Verdana" w:hAnsi="Verdana"/>
                <w:sz w:val="26"/>
                <w:szCs w:val="26"/>
              </w:rPr>
              <w:t>України</w:t>
            </w:r>
            <w:proofErr w:type="spellEnd"/>
          </w:p>
        </w:tc>
      </w:tr>
    </w:tbl>
    <w:p w14:paraId="02000BAB"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1479"/>
      </w:tblGrid>
      <w:tr w:rsidR="006E41EF" w14:paraId="77E2A53E" w14:textId="77777777" w:rsidTr="006E41EF">
        <w:trPr>
          <w:tblCellSpacing w:w="0" w:type="dxa"/>
        </w:trPr>
        <w:tc>
          <w:tcPr>
            <w:tcW w:w="0" w:type="auto"/>
            <w:hideMark/>
          </w:tcPr>
          <w:p w14:paraId="56CC54EB" w14:textId="465A25FE" w:rsidR="006E41EF" w:rsidRDefault="006E41EF">
            <w:pPr>
              <w:spacing w:before="100" w:beforeAutospacing="1" w:after="100" w:afterAutospacing="1"/>
              <w:rPr>
                <w:rFonts w:ascii="Verdana" w:hAnsi="Verdana"/>
                <w:sz w:val="21"/>
                <w:szCs w:val="21"/>
              </w:rPr>
            </w:pPr>
            <w:r>
              <w:rPr>
                <w:rFonts w:ascii="Verdana" w:hAnsi="Verdana"/>
                <w:noProof/>
                <w:sz w:val="21"/>
                <w:szCs w:val="21"/>
                <w:lang w:val="uk-UA"/>
              </w:rPr>
              <w:lastRenderedPageBreak/>
              <mc:AlternateContent>
                <mc:Choice Requires="wps">
                  <w:drawing>
                    <wp:inline distT="0" distB="0" distL="0" distR="0" wp14:anchorId="1D3445A3" wp14:editId="14C78C32">
                      <wp:extent cx="579120" cy="42545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12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9D00C" id="Прямоугольник 3" o:spid="_x0000_s1026" style="width:45.6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" filled="f" stroked="f">
                      <o:lock v:ext="edit" aspectratio="t"/>
                      <w10:anchorlock/>
                    </v:rect>
                  </w:pict>
                </mc:Fallback>
              </mc:AlternateContent>
            </w:r>
          </w:p>
        </w:tc>
      </w:tr>
    </w:tbl>
    <w:p w14:paraId="4CEA459E"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5147"/>
      </w:tblGrid>
      <w:tr w:rsidR="006E41EF" w14:paraId="35ED3D5A" w14:textId="77777777" w:rsidTr="006E41EF">
        <w:trPr>
          <w:tblCellSpacing w:w="0" w:type="dxa"/>
        </w:trPr>
        <w:tc>
          <w:tcPr>
            <w:tcW w:w="0" w:type="auto"/>
            <w:hideMark/>
          </w:tcPr>
          <w:p w14:paraId="527D8F3F" w14:textId="77777777" w:rsidR="006E41EF" w:rsidRDefault="006E41EF">
            <w:pPr>
              <w:spacing w:before="100" w:beforeAutospacing="1" w:after="100" w:afterAutospacing="1" w:line="260" w:lineRule="atLeast"/>
              <w:ind w:left="3340"/>
              <w:rPr>
                <w:rFonts w:ascii="Verdana" w:hAnsi="Verdana"/>
                <w:sz w:val="21"/>
                <w:szCs w:val="21"/>
              </w:rPr>
            </w:pPr>
            <w:r>
              <w:rPr>
                <w:rFonts w:ascii="Verdana" w:hAnsi="Verdana"/>
                <w:sz w:val="21"/>
                <w:szCs w:val="21"/>
                <w:lang w:val="uk-UA"/>
              </w:rPr>
              <w:t>Київ - 2018</w:t>
            </w:r>
          </w:p>
        </w:tc>
      </w:tr>
    </w:tbl>
    <w:p w14:paraId="69577AE3"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p w14:paraId="5C124475" w14:textId="77777777" w:rsidR="006E41EF" w:rsidRDefault="006E41EF" w:rsidP="006E41EF">
      <w:pPr>
        <w:pStyle w:val="afffffffffffffffffffffffffff5"/>
        <w:rPr>
          <w:rFonts w:ascii="Verdana" w:hAnsi="Verdana"/>
          <w:color w:val="000000"/>
          <w:sz w:val="21"/>
          <w:szCs w:val="21"/>
        </w:rPr>
      </w:pPr>
    </w:p>
    <w:tbl>
      <w:tblPr>
        <w:tblW w:w="9540" w:type="dxa"/>
        <w:tblCellSpacing w:w="0" w:type="dxa"/>
        <w:tblCellMar>
          <w:left w:w="0" w:type="dxa"/>
          <w:right w:w="0" w:type="dxa"/>
        </w:tblCellMar>
        <w:tblLook w:val="04A0" w:firstRow="1" w:lastRow="0" w:firstColumn="1" w:lastColumn="0" w:noHBand="0" w:noVBand="1"/>
      </w:tblPr>
      <w:tblGrid>
        <w:gridCol w:w="11180"/>
      </w:tblGrid>
      <w:tr w:rsidR="006E41EF" w14:paraId="6D8B5DF8" w14:textId="77777777" w:rsidTr="006E41EF">
        <w:trPr>
          <w:trHeight w:val="13180"/>
          <w:tblCellSpacing w:w="0" w:type="dxa"/>
        </w:trPr>
        <w:tc>
          <w:tcPr>
            <w:tcW w:w="0" w:type="auto"/>
            <w:hideMark/>
          </w:tcPr>
          <w:p w14:paraId="43D92F38" w14:textId="77777777" w:rsidR="006E41EF" w:rsidRDefault="006E41EF">
            <w:pPr>
              <w:spacing w:after="304" w:line="260" w:lineRule="atLeast"/>
              <w:ind w:left="4680"/>
              <w:rPr>
                <w:rFonts w:ascii="Verdana" w:hAnsi="Verdana"/>
                <w:sz w:val="21"/>
                <w:szCs w:val="21"/>
              </w:rPr>
            </w:pPr>
            <w:r>
              <w:rPr>
                <w:rFonts w:ascii="Verdana" w:hAnsi="Verdana"/>
                <w:sz w:val="21"/>
                <w:szCs w:val="21"/>
                <w:lang w:val="uk-UA"/>
              </w:rPr>
              <w:lastRenderedPageBreak/>
              <w:t>ЗМІСТ</w:t>
            </w:r>
          </w:p>
          <w:p w14:paraId="7DF554B3" w14:textId="77777777" w:rsidR="006E41EF" w:rsidRDefault="006E41EF">
            <w:pPr>
              <w:pStyle w:val="3ff2"/>
              <w:rPr>
                <w:rFonts w:ascii="Verdana" w:hAnsi="Verdana"/>
                <w:sz w:val="21"/>
                <w:szCs w:val="21"/>
              </w:rPr>
            </w:pPr>
            <w:r>
              <w:rPr>
                <w:rFonts w:ascii="Verdana" w:hAnsi="Verdana"/>
                <w:sz w:val="21"/>
                <w:szCs w:val="21"/>
                <w:lang w:val="uk-UA"/>
              </w:rPr>
              <w:t>ПЕРЕЛІК УМОВНИХ СКОРОЧЕНЬ                                                                      36</w:t>
            </w:r>
          </w:p>
          <w:p w14:paraId="47BF63AB" w14:textId="77777777" w:rsidR="006E41EF" w:rsidRDefault="006E41EF">
            <w:pPr>
              <w:pStyle w:val="3ff2"/>
              <w:rPr>
                <w:rFonts w:ascii="Verdana" w:hAnsi="Verdana"/>
                <w:sz w:val="21"/>
                <w:szCs w:val="21"/>
              </w:rPr>
            </w:pPr>
            <w:hyperlink r:id="rId8" w:anchor="bookmark11" w:tooltip="Current Document" w:history="1">
              <w:r>
                <w:rPr>
                  <w:rStyle w:val="a8"/>
                  <w:rFonts w:ascii="Verdana" w:hAnsi="Verdana"/>
                  <w:color w:val="000000"/>
                  <w:sz w:val="21"/>
                  <w:szCs w:val="21"/>
                  <w:lang w:val="uk-UA"/>
                </w:rPr>
                <w:t>ВСТУП                                                                                                                    37</w:t>
              </w:r>
            </w:hyperlink>
          </w:p>
          <w:p w14:paraId="145F6EB7" w14:textId="77777777" w:rsidR="006E41EF" w:rsidRDefault="006E41EF">
            <w:pPr>
              <w:pStyle w:val="3ff2"/>
              <w:rPr>
                <w:rFonts w:ascii="Verdana" w:hAnsi="Verdana"/>
                <w:sz w:val="21"/>
                <w:szCs w:val="21"/>
              </w:rPr>
            </w:pPr>
            <w:r>
              <w:rPr>
                <w:rFonts w:ascii="Verdana" w:hAnsi="Verdana"/>
                <w:sz w:val="21"/>
                <w:szCs w:val="21"/>
                <w:lang w:val="uk-UA"/>
              </w:rPr>
              <w:t>РОЗДІЛ.1. ТЕОРЕТИЧНІ ЗАСАДИ УПРАВЛІННЯ ОСВІТНІМ ПРОЦЕСОМ У ЗАКЛАДАХ ВИЩОЇ ОСВІТИ                                                                                   54</w:t>
            </w:r>
          </w:p>
          <w:p w14:paraId="2C2722EC" w14:textId="77777777" w:rsidR="006E41EF" w:rsidRDefault="006E41EF">
            <w:pPr>
              <w:pStyle w:val="3ff2"/>
              <w:spacing w:after="0" w:line="312" w:lineRule="atLeast"/>
              <w:ind w:left="300"/>
              <w:rPr>
                <w:rFonts w:ascii="Verdana" w:hAnsi="Verdana"/>
                <w:sz w:val="21"/>
                <w:szCs w:val="21"/>
              </w:rPr>
            </w:pPr>
            <w:r>
              <w:rPr>
                <w:rFonts w:ascii="Verdana" w:hAnsi="Verdana"/>
                <w:sz w:val="21"/>
                <w:szCs w:val="21"/>
                <w:lang w:val="uk-UA"/>
              </w:rPr>
              <w:t>1.1.</w:t>
            </w:r>
            <w:r>
              <w:rPr>
                <w:sz w:val="14"/>
                <w:szCs w:val="14"/>
                <w:lang w:val="uk-UA"/>
              </w:rPr>
              <w:t>          </w:t>
            </w:r>
            <w:r>
              <w:rPr>
                <w:rFonts w:ascii="Verdana" w:hAnsi="Verdana"/>
                <w:sz w:val="21"/>
                <w:szCs w:val="21"/>
                <w:lang w:val="uk-UA"/>
              </w:rPr>
              <w:t>Теоретичні підходи щодо вивчення управління освітнім процесом у</w:t>
            </w:r>
          </w:p>
          <w:p w14:paraId="7473734D" w14:textId="77777777" w:rsidR="006E41EF" w:rsidRDefault="006E41EF">
            <w:pPr>
              <w:pStyle w:val="3ff2"/>
              <w:spacing w:after="64" w:line="312" w:lineRule="atLeast"/>
              <w:ind w:left="300"/>
              <w:rPr>
                <w:rFonts w:ascii="Verdana" w:hAnsi="Verdana"/>
                <w:sz w:val="21"/>
                <w:szCs w:val="21"/>
              </w:rPr>
            </w:pPr>
            <w:r>
              <w:rPr>
                <w:rFonts w:ascii="Verdana" w:hAnsi="Verdana"/>
                <w:sz w:val="21"/>
                <w:szCs w:val="21"/>
                <w:lang w:val="uk-UA"/>
              </w:rPr>
              <w:t>закладі вищої освіти в контексті міждисциплінарних знань                                  55</w:t>
            </w:r>
          </w:p>
          <w:p w14:paraId="0C1B3A53" w14:textId="77777777" w:rsidR="006E41EF" w:rsidRDefault="006E41EF">
            <w:pPr>
              <w:pStyle w:val="3ff2"/>
              <w:spacing w:after="0"/>
              <w:ind w:left="300"/>
              <w:rPr>
                <w:rFonts w:ascii="Verdana" w:hAnsi="Verdana"/>
                <w:sz w:val="21"/>
                <w:szCs w:val="21"/>
              </w:rPr>
            </w:pPr>
            <w:r>
              <w:rPr>
                <w:rFonts w:ascii="Verdana" w:hAnsi="Verdana"/>
                <w:sz w:val="21"/>
                <w:szCs w:val="21"/>
                <w:lang w:val="uk-UA"/>
              </w:rPr>
              <w:t>1.2.</w:t>
            </w:r>
            <w:r>
              <w:rPr>
                <w:sz w:val="14"/>
                <w:szCs w:val="14"/>
                <w:lang w:val="uk-UA"/>
              </w:rPr>
              <w:t>          </w:t>
            </w:r>
            <w:r>
              <w:rPr>
                <w:rFonts w:ascii="Verdana" w:hAnsi="Verdana"/>
                <w:sz w:val="21"/>
                <w:szCs w:val="21"/>
                <w:lang w:val="uk-UA"/>
              </w:rPr>
              <w:t>Забезпечення якості освітнього процесу в закладі вищої освіти в умовах</w:t>
            </w:r>
          </w:p>
          <w:p w14:paraId="0B99449E" w14:textId="77777777" w:rsidR="006E41EF" w:rsidRDefault="006E41EF">
            <w:pPr>
              <w:pStyle w:val="3ff2"/>
              <w:spacing w:after="56"/>
              <w:ind w:left="300"/>
              <w:rPr>
                <w:rFonts w:ascii="Verdana" w:hAnsi="Verdana"/>
                <w:sz w:val="21"/>
                <w:szCs w:val="21"/>
              </w:rPr>
            </w:pPr>
            <w:r>
              <w:rPr>
                <w:rFonts w:ascii="Verdana" w:hAnsi="Verdana"/>
                <w:sz w:val="21"/>
                <w:szCs w:val="21"/>
                <w:lang w:val="uk-UA"/>
              </w:rPr>
              <w:t>соціальних трансформацій                                                                                     76</w:t>
            </w:r>
          </w:p>
          <w:p w14:paraId="11EA194C" w14:textId="77777777" w:rsidR="006E41EF" w:rsidRDefault="006E41EF">
            <w:pPr>
              <w:pStyle w:val="3ff2"/>
              <w:spacing w:after="0" w:line="312" w:lineRule="atLeast"/>
              <w:ind w:left="300"/>
              <w:rPr>
                <w:rFonts w:ascii="Verdana" w:hAnsi="Verdana"/>
                <w:sz w:val="21"/>
                <w:szCs w:val="21"/>
              </w:rPr>
            </w:pPr>
            <w:r>
              <w:rPr>
                <w:rFonts w:ascii="Verdana" w:hAnsi="Verdana"/>
                <w:sz w:val="21"/>
                <w:szCs w:val="21"/>
                <w:lang w:val="uk-UA"/>
              </w:rPr>
              <w:t>1.3.</w:t>
            </w:r>
            <w:r>
              <w:rPr>
                <w:sz w:val="14"/>
                <w:szCs w:val="14"/>
                <w:lang w:val="uk-UA"/>
              </w:rPr>
              <w:t>          </w:t>
            </w:r>
            <w:r>
              <w:rPr>
                <w:rFonts w:ascii="Verdana" w:hAnsi="Verdana"/>
                <w:sz w:val="21"/>
                <w:szCs w:val="21"/>
                <w:lang w:val="uk-UA"/>
              </w:rPr>
              <w:t>Здобувач вищої освіти як учасник і суб’єкт управління освітнім</w:t>
            </w:r>
          </w:p>
          <w:p w14:paraId="5CD93F6A" w14:textId="77777777" w:rsidR="006E41EF" w:rsidRDefault="006E41EF">
            <w:pPr>
              <w:pStyle w:val="3ff2"/>
              <w:spacing w:after="102" w:line="312" w:lineRule="atLeast"/>
              <w:rPr>
                <w:rFonts w:ascii="Verdana" w:hAnsi="Verdana"/>
                <w:sz w:val="21"/>
                <w:szCs w:val="21"/>
              </w:rPr>
            </w:pPr>
            <w:r>
              <w:rPr>
                <w:rFonts w:ascii="Verdana" w:hAnsi="Verdana"/>
                <w:sz w:val="21"/>
                <w:szCs w:val="21"/>
                <w:lang w:val="uk-UA"/>
              </w:rPr>
              <w:t>процесом                                                                                                                95</w:t>
            </w:r>
          </w:p>
          <w:p w14:paraId="1562B84D" w14:textId="77777777" w:rsidR="006E41EF" w:rsidRDefault="006E41EF">
            <w:pPr>
              <w:pStyle w:val="3ff2"/>
              <w:spacing w:after="343" w:line="260" w:lineRule="atLeast"/>
              <w:ind w:left="300"/>
              <w:rPr>
                <w:rFonts w:ascii="Verdana" w:hAnsi="Verdana"/>
                <w:sz w:val="21"/>
                <w:szCs w:val="21"/>
              </w:rPr>
            </w:pPr>
            <w:r>
              <w:rPr>
                <w:rFonts w:ascii="Verdana" w:hAnsi="Verdana"/>
                <w:sz w:val="21"/>
                <w:szCs w:val="21"/>
                <w:lang w:val="uk-UA"/>
              </w:rPr>
              <w:t>Висновки до першого розділу                                                                              116</w:t>
            </w:r>
          </w:p>
          <w:p w14:paraId="07451FF1" w14:textId="77777777" w:rsidR="006E41EF" w:rsidRDefault="006E41EF">
            <w:pPr>
              <w:pStyle w:val="3ff2"/>
              <w:rPr>
                <w:rFonts w:ascii="Verdana" w:hAnsi="Verdana"/>
                <w:sz w:val="21"/>
                <w:szCs w:val="21"/>
              </w:rPr>
            </w:pPr>
            <w:r>
              <w:rPr>
                <w:rFonts w:ascii="Verdana" w:hAnsi="Verdana"/>
                <w:sz w:val="21"/>
                <w:szCs w:val="21"/>
                <w:lang w:val="uk-UA"/>
              </w:rPr>
              <w:t>РОЗДІЛ 2. ПРАКТИКА ПІДТРИМКИ ЗДОБУВАЧА ВИЩОЇ ОСВІТИ В УПРАВЛІННІ ОСВІТНІМ ПРОЦЕСОМ                                                                  123</w:t>
            </w:r>
          </w:p>
          <w:p w14:paraId="01E71C59" w14:textId="77777777" w:rsidR="006E41EF" w:rsidRDefault="006E41EF">
            <w:pPr>
              <w:pStyle w:val="3ff2"/>
              <w:spacing w:after="0"/>
              <w:ind w:left="300"/>
              <w:rPr>
                <w:rFonts w:ascii="Verdana" w:hAnsi="Verdana"/>
                <w:sz w:val="21"/>
                <w:szCs w:val="21"/>
              </w:rPr>
            </w:pPr>
            <w:r>
              <w:rPr>
                <w:rFonts w:ascii="Verdana" w:hAnsi="Verdana"/>
                <w:sz w:val="21"/>
                <w:szCs w:val="21"/>
                <w:lang w:val="uk-UA"/>
              </w:rPr>
              <w:t>2.1.</w:t>
            </w:r>
            <w:r>
              <w:rPr>
                <w:sz w:val="14"/>
                <w:szCs w:val="14"/>
                <w:lang w:val="uk-UA"/>
              </w:rPr>
              <w:t>          </w:t>
            </w:r>
            <w:r>
              <w:rPr>
                <w:rFonts w:ascii="Verdana" w:hAnsi="Verdana"/>
                <w:sz w:val="21"/>
                <w:szCs w:val="21"/>
                <w:lang w:val="uk-UA"/>
              </w:rPr>
              <w:t>Інституційний підхід як теоретична основа вивчення підтримки студента</w:t>
            </w:r>
          </w:p>
          <w:p w14:paraId="1A3733DD" w14:textId="77777777" w:rsidR="006E41EF" w:rsidRDefault="006E41EF">
            <w:pPr>
              <w:pStyle w:val="3ff2"/>
              <w:spacing w:after="60"/>
              <w:ind w:left="300"/>
              <w:rPr>
                <w:rFonts w:ascii="Verdana" w:hAnsi="Verdana"/>
                <w:sz w:val="21"/>
                <w:szCs w:val="21"/>
              </w:rPr>
            </w:pPr>
            <w:r>
              <w:rPr>
                <w:rFonts w:ascii="Verdana" w:hAnsi="Verdana"/>
                <w:sz w:val="21"/>
                <w:szCs w:val="21"/>
                <w:lang w:val="uk-UA"/>
              </w:rPr>
              <w:t>в освітньому процесі закладу вищої освіти                                                          124</w:t>
            </w:r>
          </w:p>
          <w:p w14:paraId="52CD5B3C" w14:textId="77777777" w:rsidR="006E41EF" w:rsidRDefault="006E41EF">
            <w:pPr>
              <w:pStyle w:val="3ff2"/>
              <w:spacing w:after="0"/>
              <w:ind w:left="300"/>
              <w:rPr>
                <w:rFonts w:ascii="Verdana" w:hAnsi="Verdana"/>
                <w:sz w:val="21"/>
                <w:szCs w:val="21"/>
              </w:rPr>
            </w:pPr>
            <w:r>
              <w:rPr>
                <w:rFonts w:ascii="Verdana" w:hAnsi="Verdana"/>
                <w:sz w:val="21"/>
                <w:szCs w:val="21"/>
                <w:lang w:val="uk-UA"/>
              </w:rPr>
              <w:t>2.2.</w:t>
            </w:r>
            <w:r>
              <w:rPr>
                <w:sz w:val="14"/>
                <w:szCs w:val="14"/>
                <w:lang w:val="uk-UA"/>
              </w:rPr>
              <w:t>          </w:t>
            </w:r>
            <w:r>
              <w:rPr>
                <w:rFonts w:ascii="Verdana" w:hAnsi="Verdana"/>
                <w:sz w:val="21"/>
                <w:szCs w:val="21"/>
                <w:lang w:val="uk-UA"/>
              </w:rPr>
              <w:t>Історичні форми підтримки здобувача освіти в освітньому процесі:</w:t>
            </w:r>
          </w:p>
          <w:p w14:paraId="2B31F540" w14:textId="77777777" w:rsidR="006E41EF" w:rsidRDefault="006E41EF">
            <w:pPr>
              <w:pStyle w:val="3ff2"/>
              <w:spacing w:after="60"/>
              <w:ind w:left="300"/>
              <w:rPr>
                <w:rFonts w:ascii="Verdana" w:hAnsi="Verdana"/>
                <w:sz w:val="21"/>
                <w:szCs w:val="21"/>
              </w:rPr>
            </w:pPr>
            <w:r>
              <w:rPr>
                <w:rFonts w:ascii="Verdana" w:hAnsi="Verdana"/>
                <w:sz w:val="21"/>
                <w:szCs w:val="21"/>
                <w:lang w:val="uk-UA"/>
              </w:rPr>
              <w:t>результати наукового пошуку                                                                              147</w:t>
            </w:r>
          </w:p>
          <w:p w14:paraId="369A53AB" w14:textId="77777777" w:rsidR="006E41EF" w:rsidRDefault="006E41EF">
            <w:pPr>
              <w:pStyle w:val="3ff2"/>
              <w:spacing w:after="0"/>
              <w:ind w:left="300"/>
              <w:rPr>
                <w:rFonts w:ascii="Verdana" w:hAnsi="Verdana"/>
                <w:sz w:val="21"/>
                <w:szCs w:val="21"/>
              </w:rPr>
            </w:pPr>
            <w:r>
              <w:rPr>
                <w:rFonts w:ascii="Verdana" w:hAnsi="Verdana"/>
                <w:sz w:val="21"/>
                <w:szCs w:val="21"/>
                <w:lang w:val="uk-UA"/>
              </w:rPr>
              <w:t>2.3.</w:t>
            </w:r>
            <w:r>
              <w:rPr>
                <w:sz w:val="14"/>
                <w:szCs w:val="14"/>
                <w:lang w:val="uk-UA"/>
              </w:rPr>
              <w:t>          </w:t>
            </w:r>
            <w:r>
              <w:rPr>
                <w:rFonts w:ascii="Verdana" w:hAnsi="Verdana"/>
                <w:sz w:val="21"/>
                <w:szCs w:val="21"/>
                <w:lang w:val="uk-UA"/>
              </w:rPr>
              <w:t>Потреби та запити здобувача вищої освіти в умовах сучасних викликів</w:t>
            </w:r>
          </w:p>
          <w:p w14:paraId="5988A288" w14:textId="77777777" w:rsidR="006E41EF" w:rsidRDefault="006E41EF">
            <w:pPr>
              <w:pStyle w:val="3ff2"/>
              <w:spacing w:after="98"/>
              <w:ind w:left="300"/>
              <w:rPr>
                <w:rFonts w:ascii="Verdana" w:hAnsi="Verdana"/>
                <w:sz w:val="21"/>
                <w:szCs w:val="21"/>
              </w:rPr>
            </w:pPr>
            <w:r>
              <w:rPr>
                <w:rFonts w:ascii="Verdana" w:hAnsi="Verdana"/>
                <w:sz w:val="21"/>
                <w:szCs w:val="21"/>
                <w:lang w:val="uk-UA"/>
              </w:rPr>
              <w:t>(на прикладі України та Республіки Польща)                                                      167</w:t>
            </w:r>
          </w:p>
          <w:p w14:paraId="69D02C52" w14:textId="77777777" w:rsidR="006E41EF" w:rsidRDefault="006E41EF">
            <w:pPr>
              <w:pStyle w:val="3ff2"/>
              <w:spacing w:after="304" w:line="260" w:lineRule="atLeast"/>
              <w:ind w:left="300"/>
              <w:rPr>
                <w:rFonts w:ascii="Verdana" w:hAnsi="Verdana"/>
                <w:sz w:val="21"/>
                <w:szCs w:val="21"/>
              </w:rPr>
            </w:pPr>
            <w:r>
              <w:rPr>
                <w:rFonts w:ascii="Verdana" w:hAnsi="Verdana"/>
                <w:sz w:val="21"/>
                <w:szCs w:val="21"/>
                <w:lang w:val="uk-UA"/>
              </w:rPr>
              <w:t>Висновки до другого розділу                                                                                192</w:t>
            </w:r>
          </w:p>
          <w:p w14:paraId="72413BB9" w14:textId="77777777" w:rsidR="006E41EF" w:rsidRDefault="006E41EF">
            <w:pPr>
              <w:pStyle w:val="3ff2"/>
              <w:rPr>
                <w:rFonts w:ascii="Verdana" w:hAnsi="Verdana"/>
                <w:sz w:val="21"/>
                <w:szCs w:val="21"/>
              </w:rPr>
            </w:pPr>
            <w:r>
              <w:rPr>
                <w:rFonts w:ascii="Verdana" w:hAnsi="Verdana"/>
                <w:sz w:val="21"/>
                <w:szCs w:val="21"/>
                <w:lang w:val="uk-UA"/>
              </w:rPr>
              <w:t>РОЗДІЛ 3. КОНЦЕПЦІЯ УПРАВЛІННЯ ОСВІТНІМ ПРОЦЕСОМ ЗАКЛАДУ ВИЩОЇ ОСВІТИ НА ОСНОВІ ТЕХНОЛОГІЇ КЕЙС-МЕНЕДЖМЕНТУ                198</w:t>
            </w:r>
          </w:p>
          <w:p w14:paraId="4B9D24AA" w14:textId="77777777" w:rsidR="006E41EF" w:rsidRDefault="006E41EF">
            <w:pPr>
              <w:pStyle w:val="3ff2"/>
              <w:spacing w:after="0"/>
              <w:ind w:left="300"/>
              <w:rPr>
                <w:rFonts w:ascii="Verdana" w:hAnsi="Verdana"/>
                <w:sz w:val="21"/>
                <w:szCs w:val="21"/>
              </w:rPr>
            </w:pPr>
            <w:r>
              <w:rPr>
                <w:rFonts w:ascii="Verdana" w:hAnsi="Verdana"/>
                <w:sz w:val="21"/>
                <w:szCs w:val="21"/>
                <w:lang w:val="uk-UA"/>
              </w:rPr>
              <w:t>3.1.</w:t>
            </w:r>
            <w:r>
              <w:rPr>
                <w:sz w:val="14"/>
                <w:szCs w:val="14"/>
                <w:lang w:val="uk-UA"/>
              </w:rPr>
              <w:t>          </w:t>
            </w:r>
            <w:r>
              <w:rPr>
                <w:rFonts w:ascii="Verdana" w:hAnsi="Verdana"/>
                <w:sz w:val="21"/>
                <w:szCs w:val="21"/>
                <w:lang w:val="uk-UA"/>
              </w:rPr>
              <w:t>Кейс-менеджменту як технологія різнорівневої соціальної підтримки в</w:t>
            </w:r>
          </w:p>
          <w:p w14:paraId="66945C5B" w14:textId="77777777" w:rsidR="006E41EF" w:rsidRDefault="006E41EF">
            <w:pPr>
              <w:pStyle w:val="3ff2"/>
              <w:spacing w:after="56"/>
              <w:ind w:left="300"/>
              <w:rPr>
                <w:rFonts w:ascii="Verdana" w:hAnsi="Verdana"/>
                <w:sz w:val="21"/>
                <w:szCs w:val="21"/>
              </w:rPr>
            </w:pPr>
            <w:r>
              <w:rPr>
                <w:rFonts w:ascii="Verdana" w:hAnsi="Verdana"/>
                <w:sz w:val="21"/>
                <w:szCs w:val="21"/>
                <w:lang w:val="uk-UA"/>
              </w:rPr>
              <w:t>управлінні освітнім процесом                                                                              199</w:t>
            </w:r>
          </w:p>
          <w:p w14:paraId="64A7FDA7" w14:textId="77777777" w:rsidR="006E41EF" w:rsidRDefault="006E41EF">
            <w:pPr>
              <w:pStyle w:val="3ff2"/>
              <w:spacing w:after="0" w:line="312" w:lineRule="atLeast"/>
              <w:ind w:left="300"/>
              <w:rPr>
                <w:rFonts w:ascii="Verdana" w:hAnsi="Verdana"/>
                <w:sz w:val="21"/>
                <w:szCs w:val="21"/>
              </w:rPr>
            </w:pPr>
            <w:r>
              <w:rPr>
                <w:rFonts w:ascii="Verdana" w:hAnsi="Verdana"/>
                <w:sz w:val="21"/>
                <w:szCs w:val="21"/>
                <w:lang w:val="uk-UA"/>
              </w:rPr>
              <w:t>3.2.</w:t>
            </w:r>
            <w:r>
              <w:rPr>
                <w:sz w:val="14"/>
                <w:szCs w:val="14"/>
                <w:lang w:val="uk-UA"/>
              </w:rPr>
              <w:t>          </w:t>
            </w:r>
            <w:r>
              <w:rPr>
                <w:rFonts w:ascii="Verdana" w:hAnsi="Verdana"/>
                <w:sz w:val="21"/>
                <w:szCs w:val="21"/>
                <w:lang w:val="uk-UA"/>
              </w:rPr>
              <w:t>Характеристика концепції системи управління освітнім процесом</w:t>
            </w:r>
          </w:p>
          <w:p w14:paraId="1BBACD68" w14:textId="77777777" w:rsidR="006E41EF" w:rsidRDefault="006E41EF">
            <w:pPr>
              <w:pStyle w:val="3ff2"/>
              <w:spacing w:after="64" w:line="312" w:lineRule="atLeast"/>
              <w:ind w:left="300"/>
              <w:rPr>
                <w:rFonts w:ascii="Verdana" w:hAnsi="Verdana"/>
                <w:sz w:val="21"/>
                <w:szCs w:val="21"/>
              </w:rPr>
            </w:pPr>
            <w:r>
              <w:rPr>
                <w:rFonts w:ascii="Verdana" w:hAnsi="Verdana"/>
                <w:sz w:val="21"/>
                <w:szCs w:val="21"/>
              </w:rPr>
              <w:t>закладу </w:t>
            </w:r>
            <w:r>
              <w:rPr>
                <w:rFonts w:ascii="Verdana" w:hAnsi="Verdana"/>
                <w:sz w:val="21"/>
                <w:szCs w:val="21"/>
                <w:lang w:val="uk-UA"/>
              </w:rPr>
              <w:t>вищої освіти на основі кейс-менеджменту                                              225</w:t>
            </w:r>
          </w:p>
          <w:p w14:paraId="6866CB2C" w14:textId="77777777" w:rsidR="006E41EF" w:rsidRDefault="006E41EF">
            <w:pPr>
              <w:pStyle w:val="3ff2"/>
              <w:spacing w:after="0"/>
              <w:ind w:left="300"/>
              <w:rPr>
                <w:rFonts w:ascii="Verdana" w:hAnsi="Verdana"/>
                <w:sz w:val="21"/>
                <w:szCs w:val="21"/>
              </w:rPr>
            </w:pPr>
            <w:r>
              <w:rPr>
                <w:rFonts w:ascii="Verdana" w:hAnsi="Verdana"/>
                <w:sz w:val="21"/>
                <w:szCs w:val="21"/>
                <w:lang w:val="uk-UA"/>
              </w:rPr>
              <w:t>3.3.</w:t>
            </w:r>
            <w:r>
              <w:rPr>
                <w:sz w:val="14"/>
                <w:szCs w:val="14"/>
                <w:lang w:val="uk-UA"/>
              </w:rPr>
              <w:t>          </w:t>
            </w:r>
            <w:r>
              <w:rPr>
                <w:rFonts w:ascii="Verdana" w:hAnsi="Verdana"/>
                <w:sz w:val="21"/>
                <w:szCs w:val="21"/>
                <w:lang w:val="uk-UA"/>
              </w:rPr>
              <w:t>Концептуальна модель системи управління освітнім процесом закладу</w:t>
            </w:r>
          </w:p>
          <w:p w14:paraId="4A8D4042" w14:textId="77777777" w:rsidR="006E41EF" w:rsidRDefault="006E41EF">
            <w:pPr>
              <w:pStyle w:val="3ff2"/>
              <w:spacing w:after="98"/>
              <w:ind w:left="300"/>
              <w:rPr>
                <w:rFonts w:ascii="Verdana" w:hAnsi="Verdana"/>
                <w:sz w:val="21"/>
                <w:szCs w:val="21"/>
              </w:rPr>
            </w:pPr>
            <w:r>
              <w:rPr>
                <w:rFonts w:ascii="Verdana" w:hAnsi="Verdana"/>
                <w:sz w:val="21"/>
                <w:szCs w:val="21"/>
                <w:lang w:val="uk-UA"/>
              </w:rPr>
              <w:t>вищої освіти на основі кейс-менеджменту                                                           250</w:t>
            </w:r>
          </w:p>
          <w:p w14:paraId="27E705AF" w14:textId="77777777" w:rsidR="006E41EF" w:rsidRDefault="006E41EF">
            <w:pPr>
              <w:pStyle w:val="3ff2"/>
              <w:spacing w:after="304" w:line="260" w:lineRule="atLeast"/>
              <w:ind w:left="300"/>
              <w:rPr>
                <w:rFonts w:ascii="Verdana" w:hAnsi="Verdana"/>
                <w:sz w:val="21"/>
                <w:szCs w:val="21"/>
              </w:rPr>
            </w:pPr>
            <w:r>
              <w:rPr>
                <w:rFonts w:ascii="Verdana" w:hAnsi="Verdana"/>
                <w:sz w:val="21"/>
                <w:szCs w:val="21"/>
                <w:lang w:val="uk-UA"/>
              </w:rPr>
              <w:t>Висновки до третього розділу                                                                              270</w:t>
            </w:r>
          </w:p>
          <w:p w14:paraId="64D1DF04" w14:textId="77777777" w:rsidR="006E41EF" w:rsidRDefault="006E41EF">
            <w:pPr>
              <w:pStyle w:val="3ff2"/>
              <w:rPr>
                <w:rFonts w:ascii="Verdana" w:hAnsi="Verdana"/>
                <w:sz w:val="21"/>
                <w:szCs w:val="21"/>
              </w:rPr>
            </w:pPr>
            <w:hyperlink r:id="rId9" w:anchor="bookmark12" w:tooltip="Current Document" w:history="1">
              <w:r>
                <w:rPr>
                  <w:rStyle w:val="a8"/>
                  <w:rFonts w:ascii="Verdana" w:hAnsi="Verdana"/>
                  <w:color w:val="000000"/>
                  <w:sz w:val="21"/>
                  <w:szCs w:val="21"/>
                  <w:lang w:val="uk-UA"/>
                </w:rPr>
                <w:t>РОЗДІЛ 4. ЕКСПЕРТНА ОЦІНКА СИСТЕМИ УПРАВЛІННЯ ОСВІТНІМ ПРОЦЕСОМ НА ОСНОВІ КЕЙС-МЕНЕДЖМЕНТУ В ЗАКЛАДАХ ВИЩОЇ ОСВІТИ                                                                                                                    277</w:t>
              </w:r>
            </w:hyperlink>
          </w:p>
          <w:p w14:paraId="6265917D" w14:textId="77777777" w:rsidR="006E41EF" w:rsidRDefault="006E41EF">
            <w:pPr>
              <w:pStyle w:val="3ff2"/>
              <w:spacing w:after="0"/>
              <w:ind w:left="300"/>
              <w:rPr>
                <w:rFonts w:ascii="Verdana" w:hAnsi="Verdana"/>
                <w:sz w:val="21"/>
                <w:szCs w:val="21"/>
              </w:rPr>
            </w:pPr>
            <w:r>
              <w:rPr>
                <w:rFonts w:ascii="Verdana" w:hAnsi="Verdana"/>
                <w:sz w:val="21"/>
                <w:szCs w:val="21"/>
                <w:lang w:val="uk-UA"/>
              </w:rPr>
              <w:lastRenderedPageBreak/>
              <w:t>4.1. Процедура експертного оцінювання системи управління освітнім процесом </w:t>
            </w:r>
            <w:r>
              <w:rPr>
                <w:rFonts w:ascii="Verdana" w:hAnsi="Verdana"/>
                <w:sz w:val="21"/>
                <w:szCs w:val="21"/>
              </w:rPr>
              <w:t>закладу </w:t>
            </w:r>
            <w:r>
              <w:rPr>
                <w:rFonts w:ascii="Verdana" w:hAnsi="Verdana"/>
                <w:sz w:val="21"/>
                <w:szCs w:val="21"/>
                <w:lang w:val="uk-UA"/>
              </w:rPr>
              <w:t>вищої освіти на основі </w:t>
            </w:r>
            <w:r>
              <w:rPr>
                <w:rFonts w:ascii="Verdana" w:hAnsi="Verdana"/>
                <w:sz w:val="21"/>
                <w:szCs w:val="21"/>
              </w:rPr>
              <w:t>кейс-менеджменту                                          </w:t>
            </w:r>
            <w:r>
              <w:rPr>
                <w:rFonts w:ascii="Verdana" w:hAnsi="Verdana"/>
                <w:sz w:val="21"/>
                <w:szCs w:val="21"/>
                <w:lang w:val="uk-UA"/>
              </w:rPr>
              <w:t>278</w:t>
            </w:r>
          </w:p>
        </w:tc>
      </w:tr>
    </w:tbl>
    <w:p w14:paraId="16A0F313" w14:textId="77777777" w:rsidR="006E41EF" w:rsidRDefault="006E41EF" w:rsidP="006E41EF">
      <w:pPr>
        <w:rPr>
          <w:rFonts w:ascii="Verdana" w:hAnsi="Verdana"/>
          <w:color w:val="000000"/>
          <w:sz w:val="21"/>
          <w:szCs w:val="21"/>
        </w:rPr>
      </w:pPr>
      <w:r>
        <w:rPr>
          <w:rFonts w:ascii="Verdana" w:hAnsi="Verdana"/>
          <w:color w:val="000000"/>
          <w:sz w:val="21"/>
          <w:szCs w:val="21"/>
        </w:rPr>
        <w:lastRenderedPageBreak/>
        <w:br w:type="textWrapping" w:clear="all"/>
      </w:r>
    </w:p>
    <w:p w14:paraId="3799DCAC" w14:textId="77777777" w:rsidR="006E41EF" w:rsidRDefault="006E41EF" w:rsidP="006E41EF">
      <w:pPr>
        <w:pStyle w:val="afffffffffffffffffffffffffff5"/>
        <w:rPr>
          <w:rFonts w:ascii="Verdana" w:hAnsi="Verdana"/>
          <w:color w:val="000000"/>
          <w:sz w:val="21"/>
          <w:szCs w:val="21"/>
        </w:rPr>
      </w:pPr>
      <w:r>
        <w:rPr>
          <w:rFonts w:ascii="Microsoft Sans Serif" w:hAnsi="Microsoft Sans Serif" w:cs="Microsoft Sans Serif"/>
          <w:color w:val="000000"/>
          <w:sz w:val="2"/>
          <w:szCs w:val="2"/>
          <w:lang w:val="uk-UA"/>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835"/>
      </w:tblGrid>
      <w:tr w:rsidR="006E41EF" w14:paraId="13246B7B" w14:textId="77777777" w:rsidTr="006E41EF">
        <w:trPr>
          <w:tblCellSpacing w:w="0" w:type="dxa"/>
        </w:trPr>
        <w:tc>
          <w:tcPr>
            <w:tcW w:w="0" w:type="auto"/>
            <w:hideMark/>
          </w:tcPr>
          <w:p w14:paraId="24B371E0" w14:textId="77777777" w:rsidR="006E41EF" w:rsidRDefault="006E41EF">
            <w:pPr>
              <w:spacing w:line="260" w:lineRule="atLeast"/>
              <w:rPr>
                <w:rFonts w:ascii="Verdana" w:hAnsi="Verdana"/>
                <w:sz w:val="21"/>
                <w:szCs w:val="21"/>
              </w:rPr>
            </w:pPr>
            <w:r>
              <w:rPr>
                <w:rFonts w:ascii="Verdana" w:hAnsi="Verdana"/>
                <w:sz w:val="21"/>
                <w:szCs w:val="21"/>
              </w:rPr>
              <w:t>35</w:t>
            </w:r>
          </w:p>
        </w:tc>
      </w:tr>
    </w:tbl>
    <w:p w14:paraId="773BFDA2"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8217"/>
      </w:tblGrid>
      <w:tr w:rsidR="006E41EF" w14:paraId="2C764A48" w14:textId="77777777" w:rsidTr="006E41EF">
        <w:trPr>
          <w:tblCellSpacing w:w="0" w:type="dxa"/>
        </w:trPr>
        <w:tc>
          <w:tcPr>
            <w:tcW w:w="0" w:type="auto"/>
            <w:hideMark/>
          </w:tcPr>
          <w:p w14:paraId="537E39A5" w14:textId="77777777" w:rsidR="006E41EF" w:rsidRDefault="006E41EF">
            <w:pPr>
              <w:pStyle w:val="2011"/>
              <w:spacing w:before="0" w:beforeAutospacing="0" w:after="0" w:afterAutospacing="0" w:line="260" w:lineRule="atLeast"/>
              <w:ind w:left="300"/>
              <w:jc w:val="both"/>
              <w:rPr>
                <w:rFonts w:ascii="Verdana" w:hAnsi="Verdana"/>
                <w:sz w:val="21"/>
                <w:szCs w:val="21"/>
              </w:rPr>
            </w:pPr>
            <w:r>
              <w:rPr>
                <w:rFonts w:ascii="Verdana" w:hAnsi="Verdana"/>
                <w:sz w:val="21"/>
                <w:szCs w:val="21"/>
                <w:lang w:val="uk-UA"/>
              </w:rPr>
              <w:lastRenderedPageBreak/>
              <w:t>4.2.</w:t>
            </w:r>
            <w:r>
              <w:rPr>
                <w:sz w:val="14"/>
                <w:szCs w:val="14"/>
                <w:lang w:val="uk-UA"/>
              </w:rPr>
              <w:t>          </w:t>
            </w:r>
            <w:r>
              <w:rPr>
                <w:rFonts w:ascii="Verdana" w:hAnsi="Verdana"/>
                <w:sz w:val="21"/>
                <w:szCs w:val="21"/>
                <w:lang w:val="uk-UA"/>
              </w:rPr>
              <w:t>Результати експертного оцінювання системи управління освітнім</w:t>
            </w:r>
          </w:p>
        </w:tc>
      </w:tr>
    </w:tbl>
    <w:p w14:paraId="510C6FBE"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p>
    <w:tbl>
      <w:tblPr>
        <w:tblW w:w="9540" w:type="dxa"/>
        <w:tblCellSpacing w:w="0" w:type="dxa"/>
        <w:tblCellMar>
          <w:left w:w="0" w:type="dxa"/>
          <w:right w:w="0" w:type="dxa"/>
        </w:tblCellMar>
        <w:tblLook w:val="04A0" w:firstRow="1" w:lastRow="0" w:firstColumn="1" w:lastColumn="0" w:noHBand="0" w:noVBand="1"/>
      </w:tblPr>
      <w:tblGrid>
        <w:gridCol w:w="11180"/>
      </w:tblGrid>
      <w:tr w:rsidR="006E41EF" w14:paraId="2ADA97D8" w14:textId="77777777" w:rsidTr="006E41EF">
        <w:trPr>
          <w:trHeight w:val="4430"/>
          <w:tblCellSpacing w:w="0" w:type="dxa"/>
        </w:trPr>
        <w:tc>
          <w:tcPr>
            <w:tcW w:w="0" w:type="auto"/>
            <w:hideMark/>
          </w:tcPr>
          <w:p w14:paraId="65279FB7" w14:textId="77777777" w:rsidR="006E41EF" w:rsidRDefault="006E41EF">
            <w:pPr>
              <w:pStyle w:val="3ff2"/>
              <w:spacing w:after="69" w:line="260" w:lineRule="atLeast"/>
              <w:ind w:left="300"/>
              <w:rPr>
                <w:rFonts w:ascii="Verdana" w:hAnsi="Verdana"/>
                <w:sz w:val="21"/>
                <w:szCs w:val="21"/>
              </w:rPr>
            </w:pPr>
            <w:r>
              <w:rPr>
                <w:rFonts w:ascii="Verdana" w:hAnsi="Verdana"/>
                <w:sz w:val="21"/>
                <w:szCs w:val="21"/>
                <w:lang w:val="uk-UA"/>
              </w:rPr>
              <w:t>процесом закладу вищої освіти на основі кейс-менеджменту                              296</w:t>
            </w:r>
          </w:p>
          <w:p w14:paraId="3C272B90" w14:textId="77777777" w:rsidR="006E41EF" w:rsidRDefault="006E41EF">
            <w:pPr>
              <w:pStyle w:val="3ff2"/>
              <w:spacing w:after="0"/>
              <w:ind w:left="300"/>
              <w:rPr>
                <w:rFonts w:ascii="Verdana" w:hAnsi="Verdana"/>
                <w:sz w:val="21"/>
                <w:szCs w:val="21"/>
              </w:rPr>
            </w:pPr>
            <w:r>
              <w:rPr>
                <w:rFonts w:ascii="Verdana" w:hAnsi="Verdana"/>
                <w:sz w:val="21"/>
                <w:szCs w:val="21"/>
                <w:lang w:val="uk-UA"/>
              </w:rPr>
              <w:t>4.3.</w:t>
            </w:r>
            <w:r>
              <w:rPr>
                <w:sz w:val="14"/>
                <w:szCs w:val="14"/>
                <w:lang w:val="uk-UA"/>
              </w:rPr>
              <w:t>          </w:t>
            </w:r>
            <w:r>
              <w:rPr>
                <w:rFonts w:ascii="Verdana" w:hAnsi="Verdana"/>
                <w:sz w:val="21"/>
                <w:szCs w:val="21"/>
                <w:lang w:val="uk-UA"/>
              </w:rPr>
              <w:t>Оцінка системних ризиків переривання освітнього процесу здобувачем</w:t>
            </w:r>
          </w:p>
          <w:p w14:paraId="45BF055C" w14:textId="77777777" w:rsidR="006E41EF" w:rsidRDefault="006E41EF">
            <w:pPr>
              <w:pStyle w:val="3ff2"/>
              <w:spacing w:after="60"/>
              <w:ind w:left="300"/>
              <w:rPr>
                <w:rFonts w:ascii="Verdana" w:hAnsi="Verdana"/>
                <w:sz w:val="21"/>
                <w:szCs w:val="21"/>
              </w:rPr>
            </w:pPr>
            <w:r>
              <w:rPr>
                <w:rFonts w:ascii="Verdana" w:hAnsi="Verdana"/>
                <w:sz w:val="21"/>
                <w:szCs w:val="21"/>
                <w:lang w:val="uk-UA"/>
              </w:rPr>
              <w:t>вищої освіти: практичний аспект                                                                         319</w:t>
            </w:r>
          </w:p>
          <w:p w14:paraId="4C3D704A" w14:textId="77777777" w:rsidR="006E41EF" w:rsidRDefault="006E41EF">
            <w:pPr>
              <w:pStyle w:val="3ff2"/>
              <w:spacing w:after="0"/>
              <w:ind w:left="300"/>
              <w:rPr>
                <w:rFonts w:ascii="Verdana" w:hAnsi="Verdana"/>
                <w:sz w:val="21"/>
                <w:szCs w:val="21"/>
              </w:rPr>
            </w:pPr>
            <w:r>
              <w:rPr>
                <w:rFonts w:ascii="Verdana" w:hAnsi="Verdana"/>
                <w:sz w:val="21"/>
                <w:szCs w:val="21"/>
                <w:lang w:val="uk-UA"/>
              </w:rPr>
              <w:t>4.4.</w:t>
            </w:r>
            <w:r>
              <w:rPr>
                <w:sz w:val="14"/>
                <w:szCs w:val="14"/>
                <w:lang w:val="uk-UA"/>
              </w:rPr>
              <w:t>          </w:t>
            </w:r>
            <w:r>
              <w:rPr>
                <w:rFonts w:ascii="Verdana" w:hAnsi="Verdana"/>
                <w:sz w:val="21"/>
                <w:szCs w:val="21"/>
                <w:lang w:val="uk-UA"/>
              </w:rPr>
              <w:t>Науково-практичні рекомендації щодо використання технології </w:t>
            </w:r>
            <w:r>
              <w:rPr>
                <w:rFonts w:ascii="Verdana" w:hAnsi="Verdana"/>
                <w:sz w:val="21"/>
                <w:szCs w:val="21"/>
              </w:rPr>
              <w:t>«</w:t>
            </w:r>
            <w:proofErr w:type="spellStart"/>
            <w:r>
              <w:rPr>
                <w:rFonts w:ascii="Verdana" w:hAnsi="Verdana"/>
                <w:sz w:val="21"/>
                <w:szCs w:val="21"/>
              </w:rPr>
              <w:t>кейс</w:t>
            </w:r>
            <w:r>
              <w:rPr>
                <w:rFonts w:ascii="Verdana" w:hAnsi="Verdana"/>
                <w:sz w:val="21"/>
                <w:szCs w:val="21"/>
              </w:rPr>
              <w:softHyphen/>
              <w:t>менеджменту</w:t>
            </w:r>
            <w:proofErr w:type="spellEnd"/>
            <w:r>
              <w:rPr>
                <w:rFonts w:ascii="Verdana" w:hAnsi="Verdana"/>
                <w:sz w:val="21"/>
                <w:szCs w:val="21"/>
              </w:rPr>
              <w:t>»</w:t>
            </w:r>
            <w:r>
              <w:rPr>
                <w:rFonts w:ascii="Verdana" w:hAnsi="Verdana"/>
                <w:sz w:val="21"/>
                <w:szCs w:val="21"/>
                <w:lang w:val="uk-UA"/>
              </w:rPr>
              <w:t> в управлінні освітнім процесом закладу вищої освіти             334</w:t>
            </w:r>
          </w:p>
          <w:p w14:paraId="6C09A6DD" w14:textId="77777777" w:rsidR="006E41EF" w:rsidRDefault="006E41EF">
            <w:pPr>
              <w:pStyle w:val="3ff2"/>
              <w:spacing w:after="0" w:line="730" w:lineRule="atLeast"/>
              <w:ind w:left="300"/>
              <w:rPr>
                <w:rFonts w:ascii="Verdana" w:hAnsi="Verdana"/>
                <w:sz w:val="21"/>
                <w:szCs w:val="21"/>
              </w:rPr>
            </w:pPr>
            <w:r>
              <w:rPr>
                <w:rFonts w:ascii="Verdana" w:hAnsi="Verdana"/>
                <w:sz w:val="21"/>
                <w:szCs w:val="21"/>
                <w:lang w:val="uk-UA"/>
              </w:rPr>
              <w:t>Висновки до четвертого розділу                                                                           352</w:t>
            </w:r>
          </w:p>
          <w:p w14:paraId="49536046" w14:textId="77777777" w:rsidR="006E41EF" w:rsidRDefault="006E41EF">
            <w:pPr>
              <w:pStyle w:val="3ff2"/>
              <w:spacing w:line="730" w:lineRule="atLeast"/>
              <w:rPr>
                <w:rFonts w:ascii="Verdana" w:hAnsi="Verdana"/>
                <w:sz w:val="21"/>
                <w:szCs w:val="21"/>
              </w:rPr>
            </w:pPr>
            <w:hyperlink r:id="rId10" w:anchor="bookmark32" w:tooltip="Current Document" w:history="1">
              <w:r>
                <w:rPr>
                  <w:rStyle w:val="a8"/>
                  <w:rFonts w:ascii="Verdana" w:hAnsi="Verdana"/>
                  <w:color w:val="000000"/>
                  <w:sz w:val="21"/>
                  <w:szCs w:val="21"/>
                  <w:lang w:val="uk-UA"/>
                </w:rPr>
                <w:t>ВИСНОВКИ                                                                                                             358</w:t>
              </w:r>
            </w:hyperlink>
          </w:p>
          <w:p w14:paraId="1EA13E2A" w14:textId="77777777" w:rsidR="006E41EF" w:rsidRDefault="006E41EF">
            <w:pPr>
              <w:pStyle w:val="3ff2"/>
              <w:spacing w:line="730" w:lineRule="atLeast"/>
              <w:rPr>
                <w:rFonts w:ascii="Verdana" w:hAnsi="Verdana"/>
                <w:sz w:val="21"/>
                <w:szCs w:val="21"/>
              </w:rPr>
            </w:pPr>
            <w:r>
              <w:rPr>
                <w:rFonts w:ascii="Verdana" w:hAnsi="Verdana"/>
                <w:sz w:val="21"/>
                <w:szCs w:val="21"/>
                <w:lang w:val="uk-UA"/>
              </w:rPr>
              <w:t>СПИСОК ВИКОРИСТАНИХ ДЖЕРЕЛ                                                                   366</w:t>
            </w:r>
          </w:p>
        </w:tc>
      </w:tr>
    </w:tbl>
    <w:p w14:paraId="1EFFF0FE" w14:textId="77777777" w:rsidR="006E41EF" w:rsidRDefault="006E41EF" w:rsidP="006E41EF">
      <w:pPr>
        <w:pStyle w:val="afffffffffffffffffffffffffff5"/>
        <w:rPr>
          <w:rFonts w:ascii="Verdana" w:hAnsi="Verdana"/>
          <w:color w:val="000000"/>
          <w:sz w:val="21"/>
          <w:szCs w:val="21"/>
        </w:rPr>
      </w:pPr>
      <w:r>
        <w:rPr>
          <w:rFonts w:ascii="Verdana" w:hAnsi="Verdana"/>
          <w:color w:val="000000"/>
          <w:sz w:val="21"/>
          <w:szCs w:val="21"/>
        </w:rPr>
        <w:br w:type="textWrapping" w:clear="all"/>
      </w:r>
      <w:hyperlink r:id="rId11" w:anchor="bookmark36" w:tooltip="Current Document" w:history="1">
        <w:r>
          <w:rPr>
            <w:rStyle w:val="a8"/>
            <w:rFonts w:ascii="Microsoft Sans Serif" w:hAnsi="Microsoft Sans Serif" w:cs="Microsoft Sans Serif"/>
            <w:color w:val="000000"/>
            <w:lang w:val="uk-UA"/>
          </w:rPr>
          <w:t>ДОДАТКИ    427﻿</w:t>
        </w:r>
      </w:hyperlink>
    </w:p>
    <w:p w14:paraId="76A59A8E" w14:textId="39F3129F" w:rsidR="00421D9A" w:rsidRDefault="00421D9A" w:rsidP="006E41EF"/>
    <w:p w14:paraId="3D1E2086" w14:textId="47D28873" w:rsidR="006E41EF" w:rsidRDefault="006E41EF" w:rsidP="006E41EF"/>
    <w:p w14:paraId="72C98076" w14:textId="37522328" w:rsidR="006E41EF" w:rsidRDefault="006E41EF" w:rsidP="006E41EF"/>
    <w:p w14:paraId="69B8D578" w14:textId="77777777" w:rsidR="006E41EF" w:rsidRPr="006E41EF" w:rsidRDefault="006E41EF" w:rsidP="006E41EF">
      <w:pPr>
        <w:framePr w:w="9566" w:h="13529" w:hRule="exact" w:wrap="none" w:vAnchor="page" w:hAnchor="page" w:x="1458" w:y="1920"/>
        <w:tabs>
          <w:tab w:val="clear" w:pos="709"/>
        </w:tabs>
        <w:suppressAutoHyphens w:val="0"/>
        <w:spacing w:after="186" w:line="260" w:lineRule="exact"/>
        <w:ind w:left="4340" w:firstLine="0"/>
        <w:jc w:val="left"/>
        <w:outlineLvl w:val="2"/>
        <w:rPr>
          <w:rFonts w:ascii="Times New Roman" w:eastAsia="Times New Roman" w:hAnsi="Times New Roman" w:cs="Times New Roman"/>
          <w:b/>
          <w:bCs/>
          <w:kern w:val="0"/>
          <w:sz w:val="26"/>
          <w:szCs w:val="26"/>
          <w:lang w:val="uk-UA" w:eastAsia="uk-UA" w:bidi="uk-UA"/>
        </w:rPr>
      </w:pPr>
      <w:bookmarkStart w:id="0" w:name="bookmark32"/>
      <w:r w:rsidRPr="006E41EF">
        <w:rPr>
          <w:rFonts w:ascii="Times New Roman" w:eastAsia="Times New Roman" w:hAnsi="Times New Roman" w:cs="Times New Roman"/>
          <w:b/>
          <w:bCs/>
          <w:color w:val="000000"/>
          <w:kern w:val="0"/>
          <w:sz w:val="26"/>
          <w:szCs w:val="26"/>
          <w:lang w:val="uk-UA" w:eastAsia="uk-UA" w:bidi="uk-UA"/>
        </w:rPr>
        <w:t>ВИСНОВКИ</w:t>
      </w:r>
      <w:bookmarkEnd w:id="0"/>
    </w:p>
    <w:p w14:paraId="72E25899" w14:textId="77777777" w:rsidR="006E41EF" w:rsidRPr="006E41EF" w:rsidRDefault="006E41EF" w:rsidP="006E41EF">
      <w:pPr>
        <w:framePr w:w="9566" w:h="13529" w:hRule="exact" w:wrap="none" w:vAnchor="page" w:hAnchor="page" w:x="1458" w:y="1920"/>
        <w:tabs>
          <w:tab w:val="clear" w:pos="709"/>
        </w:tabs>
        <w:suppressAutoHyphens w:val="0"/>
        <w:spacing w:after="0" w:line="461" w:lineRule="exact"/>
        <w:ind w:firstLine="720"/>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Узагальнення результатів теоретичних та практичних розвідок дослідження, реалізація його провідної концептуальної ідеї щодо впровадження в управління освітнім процесом у закладах вищої освіти технології кейс-менеджменту дало можливість дійти таких висновків:</w:t>
      </w:r>
    </w:p>
    <w:p w14:paraId="706DD705" w14:textId="77777777" w:rsidR="006E41EF" w:rsidRPr="006E41EF" w:rsidRDefault="006E41EF" w:rsidP="00281AB3">
      <w:pPr>
        <w:framePr w:w="9566" w:h="13529" w:hRule="exact" w:wrap="none" w:vAnchor="page" w:hAnchor="page" w:x="1458" w:y="1920"/>
        <w:numPr>
          <w:ilvl w:val="0"/>
          <w:numId w:val="5"/>
        </w:numPr>
        <w:tabs>
          <w:tab w:val="clear" w:pos="709"/>
          <w:tab w:val="left" w:pos="1094"/>
        </w:tabs>
        <w:suppressAutoHyphens w:val="0"/>
        <w:spacing w:after="0" w:line="461" w:lineRule="exact"/>
        <w:jc w:val="left"/>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 xml:space="preserve">Теоретичний аналіз наукових джерел уможливив вивчення проблеми управління освітнім процесом на основі кейс-менеджменту в закладах вищої освіти як такої, що забезпечує вирішення викликів сучасності щодо реформування вищої освіти та її розвитку в умовах інформаційного суспільства. Виокремлений у науковій теорії та практиці ступінь розробленості проблеми надав можливість визначити основні змістові лінії дослідження, а саме: 1) </w:t>
      </w:r>
      <w:proofErr w:type="spellStart"/>
      <w:r w:rsidRPr="006E41EF">
        <w:rPr>
          <w:rFonts w:ascii="Times New Roman" w:eastAsia="Times New Roman" w:hAnsi="Times New Roman" w:cs="Times New Roman"/>
          <w:color w:val="000000"/>
          <w:kern w:val="0"/>
          <w:sz w:val="19"/>
          <w:szCs w:val="19"/>
          <w:lang w:val="uk-UA" w:eastAsia="uk-UA" w:bidi="uk-UA"/>
        </w:rPr>
        <w:t>поліпарадигмальний</w:t>
      </w:r>
      <w:proofErr w:type="spellEnd"/>
      <w:r w:rsidRPr="006E41EF">
        <w:rPr>
          <w:rFonts w:ascii="Times New Roman" w:eastAsia="Times New Roman" w:hAnsi="Times New Roman" w:cs="Times New Roman"/>
          <w:color w:val="000000"/>
          <w:kern w:val="0"/>
          <w:sz w:val="19"/>
          <w:szCs w:val="19"/>
          <w:lang w:val="uk-UA" w:eastAsia="uk-UA" w:bidi="uk-UA"/>
        </w:rPr>
        <w:t xml:space="preserve"> підхід у визначенні сутності управління, зокрема соціально-педагогічного як різновиду соціального управління; 2) вивчення системи забезпечення якості освітнього процесу закладів вищої освіти, яка ґрунтується на визначенні потреб і очікувань здобувачів вищої освіти, посилює </w:t>
      </w:r>
      <w:proofErr w:type="spellStart"/>
      <w:r w:rsidRPr="006E41EF">
        <w:rPr>
          <w:rFonts w:ascii="Times New Roman" w:eastAsia="Times New Roman" w:hAnsi="Times New Roman" w:cs="Times New Roman"/>
          <w:color w:val="000000"/>
          <w:kern w:val="0"/>
          <w:sz w:val="19"/>
          <w:szCs w:val="19"/>
          <w:lang w:val="uk-UA" w:eastAsia="uk-UA" w:bidi="uk-UA"/>
        </w:rPr>
        <w:t>взаємопідтримку</w:t>
      </w:r>
      <w:proofErr w:type="spellEnd"/>
      <w:r w:rsidRPr="006E41EF">
        <w:rPr>
          <w:rFonts w:ascii="Times New Roman" w:eastAsia="Times New Roman" w:hAnsi="Times New Roman" w:cs="Times New Roman"/>
          <w:color w:val="000000"/>
          <w:kern w:val="0"/>
          <w:sz w:val="19"/>
          <w:szCs w:val="19"/>
          <w:lang w:val="uk-UA" w:eastAsia="uk-UA" w:bidi="uk-UA"/>
        </w:rPr>
        <w:t xml:space="preserve"> в системі та робить організацію прозорою й легкою в управлінні; 3) обґрунтування доцільності управління освітнім процесом у закладах вищої освіти з урахуванням викликів сьогодення з опорою на управлінську </w:t>
      </w:r>
      <w:r w:rsidRPr="006E41EF">
        <w:rPr>
          <w:rFonts w:ascii="Times New Roman" w:eastAsia="Times New Roman" w:hAnsi="Times New Roman" w:cs="Times New Roman"/>
          <w:color w:val="000000"/>
          <w:kern w:val="0"/>
          <w:sz w:val="19"/>
          <w:szCs w:val="19"/>
          <w:lang w:val="uk-UA" w:eastAsia="ru-RU" w:bidi="ru-RU"/>
        </w:rPr>
        <w:t xml:space="preserve">практику </w:t>
      </w:r>
      <w:r w:rsidRPr="006E41EF">
        <w:rPr>
          <w:rFonts w:ascii="Times New Roman" w:eastAsia="Times New Roman" w:hAnsi="Times New Roman" w:cs="Times New Roman"/>
          <w:color w:val="000000"/>
          <w:kern w:val="0"/>
          <w:sz w:val="19"/>
          <w:szCs w:val="19"/>
          <w:lang w:val="uk-UA" w:eastAsia="uk-UA" w:bidi="uk-UA"/>
        </w:rPr>
        <w:t>в закладах вищої освіти України та Республіки Польща;</w:t>
      </w:r>
    </w:p>
    <w:p w14:paraId="40DEDB52" w14:textId="77777777" w:rsidR="006E41EF" w:rsidRPr="006E41EF" w:rsidRDefault="006E41EF" w:rsidP="006E41EF">
      <w:pPr>
        <w:framePr w:w="9566" w:h="13529" w:hRule="exact" w:wrap="none" w:vAnchor="page" w:hAnchor="page" w:x="1458" w:y="1920"/>
        <w:tabs>
          <w:tab w:val="clear" w:pos="709"/>
        </w:tabs>
        <w:suppressAutoHyphens w:val="0"/>
        <w:spacing w:after="0" w:line="461" w:lineRule="exact"/>
        <w:ind w:firstLine="720"/>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 xml:space="preserve">4) визначення інституційної цілісності вищої освіти, що ґрунтується на інтеграційних засадах різних галузей знань, визначаючи успішність управлінської діяльності в соціально-педагогічних системах засобом цільового впливу, самоорганізації та організаційного порядку, що презентується через культуру ЗВО та його репутацію; 5) розуміння компетентності випускників як їхньої здатності до успішної соціалізації та спроможності </w:t>
      </w:r>
      <w:proofErr w:type="spellStart"/>
      <w:r w:rsidRPr="006E41EF">
        <w:rPr>
          <w:rFonts w:ascii="Times New Roman" w:eastAsia="Times New Roman" w:hAnsi="Times New Roman" w:cs="Times New Roman"/>
          <w:color w:val="000000"/>
          <w:kern w:val="0"/>
          <w:sz w:val="19"/>
          <w:szCs w:val="19"/>
          <w:lang w:val="uk-UA" w:eastAsia="uk-UA" w:bidi="uk-UA"/>
        </w:rPr>
        <w:t>компетентно</w:t>
      </w:r>
      <w:proofErr w:type="spellEnd"/>
      <w:r w:rsidRPr="006E41EF">
        <w:rPr>
          <w:rFonts w:ascii="Times New Roman" w:eastAsia="Times New Roman" w:hAnsi="Times New Roman" w:cs="Times New Roman"/>
          <w:color w:val="000000"/>
          <w:kern w:val="0"/>
          <w:sz w:val="19"/>
          <w:szCs w:val="19"/>
          <w:lang w:val="uk-UA" w:eastAsia="uk-UA" w:bidi="uk-UA"/>
        </w:rPr>
        <w:t xml:space="preserve"> здійснювати професійну та навчальну діяльність. Виокремлені такі групи понять: 1) наукові підходи щодо вивчення сфери міждисциплінарних знань, якою є інституція вищої освіти; 2) дефініції управління освітнім процесом у закладах вищої освіти; 3) теорії та </w:t>
      </w:r>
      <w:r w:rsidRPr="006E41EF">
        <w:rPr>
          <w:rFonts w:ascii="Times New Roman" w:eastAsia="Times New Roman" w:hAnsi="Times New Roman" w:cs="Times New Roman"/>
          <w:color w:val="000000"/>
          <w:kern w:val="0"/>
          <w:sz w:val="19"/>
          <w:szCs w:val="19"/>
          <w:lang w:val="uk-UA" w:eastAsia="ru-RU" w:bidi="ru-RU"/>
        </w:rPr>
        <w:t xml:space="preserve">практики </w:t>
      </w:r>
      <w:r w:rsidRPr="006E41EF">
        <w:rPr>
          <w:rFonts w:ascii="Times New Roman" w:eastAsia="Times New Roman" w:hAnsi="Times New Roman" w:cs="Times New Roman"/>
          <w:color w:val="000000"/>
          <w:kern w:val="0"/>
          <w:sz w:val="19"/>
          <w:szCs w:val="19"/>
          <w:lang w:val="uk-UA" w:eastAsia="uk-UA" w:bidi="uk-UA"/>
        </w:rPr>
        <w:t>надання підтримки користувачам освітньої послуги. Узагальнення</w:t>
      </w:r>
    </w:p>
    <w:p w14:paraId="4090A00C" w14:textId="77777777" w:rsidR="006E41EF" w:rsidRPr="006E41EF" w:rsidRDefault="006E41EF" w:rsidP="006E41EF">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val="uk-UA" w:eastAsia="uk-UA" w:bidi="uk-UA"/>
        </w:rPr>
        <w:sectPr w:rsidR="006E41EF" w:rsidRPr="006E41EF" w:rsidSect="006E41EF">
          <w:type w:val="continuous"/>
          <w:pgSz w:w="11900" w:h="16840"/>
          <w:pgMar w:top="360" w:right="360" w:bottom="360" w:left="360" w:header="0" w:footer="3" w:gutter="0"/>
          <w:cols w:space="720"/>
          <w:noEndnote/>
          <w:docGrid w:linePitch="360"/>
        </w:sectPr>
      </w:pPr>
    </w:p>
    <w:p w14:paraId="0758BC3D" w14:textId="77777777" w:rsidR="006E41EF" w:rsidRPr="006E41EF" w:rsidRDefault="006E41EF" w:rsidP="006E41EF">
      <w:pPr>
        <w:framePr w:wrap="none" w:vAnchor="page" w:hAnchor="page" w:x="10571" w:y="1067"/>
        <w:tabs>
          <w:tab w:val="clear" w:pos="709"/>
        </w:tabs>
        <w:suppressAutoHyphens w:val="0"/>
        <w:spacing w:after="0" w:line="240" w:lineRule="exact"/>
        <w:ind w:firstLine="0"/>
        <w:jc w:val="left"/>
        <w:rPr>
          <w:rFonts w:ascii="Times New Roman" w:eastAsia="Times New Roman" w:hAnsi="Times New Roman" w:cs="Times New Roman"/>
          <w:kern w:val="0"/>
          <w:sz w:val="24"/>
          <w:szCs w:val="24"/>
          <w:lang w:val="uk-UA" w:eastAsia="ru-RU" w:bidi="ru-RU"/>
        </w:rPr>
      </w:pPr>
      <w:r w:rsidRPr="006E41EF">
        <w:rPr>
          <w:rFonts w:ascii="Times New Roman" w:eastAsia="Times New Roman" w:hAnsi="Times New Roman" w:cs="Times New Roman"/>
          <w:color w:val="000000"/>
          <w:kern w:val="0"/>
          <w:sz w:val="24"/>
          <w:szCs w:val="24"/>
          <w:lang w:val="uk-UA" w:eastAsia="ru-RU" w:bidi="ru-RU"/>
        </w:rPr>
        <w:lastRenderedPageBreak/>
        <w:t>359</w:t>
      </w:r>
    </w:p>
    <w:p w14:paraId="723A1566" w14:textId="77777777" w:rsidR="006E41EF" w:rsidRPr="006E41EF" w:rsidRDefault="006E41EF" w:rsidP="006E41EF">
      <w:pPr>
        <w:framePr w:w="9562" w:h="13925" w:hRule="exact" w:wrap="none" w:vAnchor="page" w:hAnchor="page" w:x="1461" w:y="1298"/>
        <w:tabs>
          <w:tab w:val="clear" w:pos="709"/>
        </w:tabs>
        <w:suppressAutoHyphens w:val="0"/>
        <w:spacing w:after="0" w:line="461" w:lineRule="exact"/>
        <w:ind w:firstLine="0"/>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 xml:space="preserve">наукових підходів до тлумачення змісту зазначених понять уможливило формулювання змісту базових понять дослідження, а саме: «технологія </w:t>
      </w:r>
      <w:proofErr w:type="spellStart"/>
      <w:r w:rsidRPr="006E41EF">
        <w:rPr>
          <w:rFonts w:ascii="Times New Roman" w:eastAsia="Times New Roman" w:hAnsi="Times New Roman" w:cs="Times New Roman"/>
          <w:color w:val="000000"/>
          <w:kern w:val="0"/>
          <w:sz w:val="19"/>
          <w:szCs w:val="19"/>
          <w:lang w:val="uk-UA" w:eastAsia="ru-RU" w:bidi="ru-RU"/>
        </w:rPr>
        <w:t>кейс</w:t>
      </w:r>
      <w:r w:rsidRPr="006E41EF">
        <w:rPr>
          <w:rFonts w:ascii="Times New Roman" w:eastAsia="Times New Roman" w:hAnsi="Times New Roman" w:cs="Times New Roman"/>
          <w:color w:val="000000"/>
          <w:kern w:val="0"/>
          <w:sz w:val="19"/>
          <w:szCs w:val="19"/>
          <w:lang w:val="uk-UA" w:eastAsia="ru-RU" w:bidi="ru-RU"/>
        </w:rPr>
        <w:softHyphen/>
        <w:t>менеджменту</w:t>
      </w:r>
      <w:proofErr w:type="spellEnd"/>
      <w:r w:rsidRPr="006E41EF">
        <w:rPr>
          <w:rFonts w:ascii="Times New Roman" w:eastAsia="Times New Roman" w:hAnsi="Times New Roman" w:cs="Times New Roman"/>
          <w:color w:val="000000"/>
          <w:kern w:val="0"/>
          <w:sz w:val="19"/>
          <w:szCs w:val="19"/>
          <w:lang w:val="uk-UA" w:eastAsia="uk-UA" w:bidi="uk-UA"/>
        </w:rPr>
        <w:t xml:space="preserve"> в системі вищої освіти»; «освітній процес у закладах вищої освіти»; «управління освітнім процесом на основі кейс-менеджменту в закладах вищої освіти»; «управління якістю надання освітніх послуг закладами вищої освіти».</w:t>
      </w:r>
    </w:p>
    <w:p w14:paraId="3953CE76" w14:textId="77777777" w:rsidR="006E41EF" w:rsidRPr="006E41EF" w:rsidRDefault="006E41EF" w:rsidP="00281AB3">
      <w:pPr>
        <w:framePr w:w="9562" w:h="13925" w:hRule="exact" w:wrap="none" w:vAnchor="page" w:hAnchor="page" w:x="1461" w:y="1298"/>
        <w:numPr>
          <w:ilvl w:val="0"/>
          <w:numId w:val="5"/>
        </w:numPr>
        <w:tabs>
          <w:tab w:val="clear" w:pos="709"/>
          <w:tab w:val="left" w:pos="1104"/>
        </w:tabs>
        <w:suppressAutoHyphens w:val="0"/>
        <w:spacing w:after="0" w:line="461" w:lineRule="exact"/>
        <w:jc w:val="left"/>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 xml:space="preserve">На основі результатів аналізу джерельної бази дослідження та практичного досвіду з питань управління освітнім процесом у закладах вищої освіти України і Республіки Польща, виокремлено теоретичні конструкти управління освітнім процесом у закладах вищої освіти, що надало можливість розробити теоретичну і практичну форми презентації, де перша представлена як «концептуальна модель системи управління освітнім процесом на основі кейс-менеджменту в закладах вищої освіти», а друга - схемою «управління освітнім процесом на основі кейс-менеджменту в </w:t>
      </w:r>
      <w:r w:rsidRPr="006E41EF">
        <w:rPr>
          <w:rFonts w:ascii="Times New Roman" w:eastAsia="Times New Roman" w:hAnsi="Times New Roman" w:cs="Times New Roman"/>
          <w:color w:val="000000"/>
          <w:kern w:val="0"/>
          <w:sz w:val="19"/>
          <w:szCs w:val="19"/>
          <w:lang w:eastAsia="ru-RU" w:bidi="ru-RU"/>
        </w:rPr>
        <w:t xml:space="preserve">закладах </w:t>
      </w:r>
      <w:r w:rsidRPr="006E41EF">
        <w:rPr>
          <w:rFonts w:ascii="Times New Roman" w:eastAsia="Times New Roman" w:hAnsi="Times New Roman" w:cs="Times New Roman"/>
          <w:color w:val="000000"/>
          <w:kern w:val="0"/>
          <w:sz w:val="19"/>
          <w:szCs w:val="19"/>
          <w:lang w:val="uk-UA" w:eastAsia="uk-UA" w:bidi="uk-UA"/>
        </w:rPr>
        <w:t>вищої освіти».</w:t>
      </w:r>
    </w:p>
    <w:p w14:paraId="5F2447A0" w14:textId="77777777" w:rsidR="006E41EF" w:rsidRPr="006E41EF" w:rsidRDefault="006E41EF" w:rsidP="00281AB3">
      <w:pPr>
        <w:framePr w:w="9562" w:h="13925" w:hRule="exact" w:wrap="none" w:vAnchor="page" w:hAnchor="page" w:x="1461" w:y="1298"/>
        <w:numPr>
          <w:ilvl w:val="0"/>
          <w:numId w:val="5"/>
        </w:numPr>
        <w:tabs>
          <w:tab w:val="clear" w:pos="709"/>
          <w:tab w:val="left" w:pos="1104"/>
        </w:tabs>
        <w:suppressAutoHyphens w:val="0"/>
        <w:spacing w:after="0" w:line="461" w:lineRule="exact"/>
        <w:jc w:val="left"/>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eastAsia="ru-RU" w:bidi="ru-RU"/>
        </w:rPr>
        <w:t xml:space="preserve">Уточнена </w:t>
      </w:r>
      <w:r w:rsidRPr="006E41EF">
        <w:rPr>
          <w:rFonts w:ascii="Times New Roman" w:eastAsia="Times New Roman" w:hAnsi="Times New Roman" w:cs="Times New Roman"/>
          <w:color w:val="000000"/>
          <w:kern w:val="0"/>
          <w:sz w:val="19"/>
          <w:szCs w:val="19"/>
          <w:lang w:val="uk-UA" w:eastAsia="uk-UA" w:bidi="uk-UA"/>
        </w:rPr>
        <w:t xml:space="preserve">сутність управління освітнім процесом </w:t>
      </w:r>
      <w:proofErr w:type="gramStart"/>
      <w:r w:rsidRPr="006E41EF">
        <w:rPr>
          <w:rFonts w:ascii="Times New Roman" w:eastAsia="Times New Roman" w:hAnsi="Times New Roman" w:cs="Times New Roman"/>
          <w:color w:val="000000"/>
          <w:kern w:val="0"/>
          <w:sz w:val="19"/>
          <w:szCs w:val="19"/>
          <w:lang w:val="uk-UA" w:eastAsia="uk-UA" w:bidi="uk-UA"/>
        </w:rPr>
        <w:t>у закладах</w:t>
      </w:r>
      <w:proofErr w:type="gramEnd"/>
      <w:r w:rsidRPr="006E41EF">
        <w:rPr>
          <w:rFonts w:ascii="Times New Roman" w:eastAsia="Times New Roman" w:hAnsi="Times New Roman" w:cs="Times New Roman"/>
          <w:color w:val="000000"/>
          <w:kern w:val="0"/>
          <w:sz w:val="19"/>
          <w:szCs w:val="19"/>
          <w:lang w:val="uk-UA" w:eastAsia="uk-UA" w:bidi="uk-UA"/>
        </w:rPr>
        <w:t xml:space="preserve"> вищої</w:t>
      </w:r>
    </w:p>
    <w:p w14:paraId="0DDCBF43" w14:textId="77777777" w:rsidR="006E41EF" w:rsidRPr="006E41EF" w:rsidRDefault="006E41EF" w:rsidP="006E41EF">
      <w:pPr>
        <w:framePr w:w="9562" w:h="13925" w:hRule="exact" w:wrap="none" w:vAnchor="page" w:hAnchor="page" w:x="1461" w:y="1298"/>
        <w:tabs>
          <w:tab w:val="clear" w:pos="709"/>
          <w:tab w:val="left" w:pos="3581"/>
        </w:tabs>
        <w:suppressAutoHyphens w:val="0"/>
        <w:spacing w:after="0" w:line="461" w:lineRule="exact"/>
        <w:ind w:firstLine="0"/>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 xml:space="preserve">освіти, що визначається як соціально-педагогічна система, яка є цілеспрямованою та організованою відповідно до внутрішніх </w:t>
      </w:r>
      <w:proofErr w:type="spellStart"/>
      <w:r w:rsidRPr="006E41EF">
        <w:rPr>
          <w:rFonts w:ascii="Times New Roman" w:eastAsia="Times New Roman" w:hAnsi="Times New Roman" w:cs="Times New Roman"/>
          <w:color w:val="000000"/>
          <w:kern w:val="0"/>
          <w:sz w:val="19"/>
          <w:szCs w:val="19"/>
          <w:lang w:val="uk-UA" w:eastAsia="uk-UA" w:bidi="uk-UA"/>
        </w:rPr>
        <w:t>зв’язків</w:t>
      </w:r>
      <w:proofErr w:type="spellEnd"/>
      <w:r w:rsidRPr="006E41EF">
        <w:rPr>
          <w:rFonts w:ascii="Times New Roman" w:eastAsia="Times New Roman" w:hAnsi="Times New Roman" w:cs="Times New Roman"/>
          <w:color w:val="000000"/>
          <w:kern w:val="0"/>
          <w:sz w:val="19"/>
          <w:szCs w:val="19"/>
          <w:lang w:val="uk-UA" w:eastAsia="uk-UA" w:bidi="uk-UA"/>
        </w:rPr>
        <w:t xml:space="preserve"> між її елементами та чинників середовища, а також провідних характеристик її функціонування. З’ясовано, що провідним механізмом управління соціально-педагогічною системою є отримання інформації </w:t>
      </w:r>
      <w:r w:rsidRPr="006E41EF">
        <w:rPr>
          <w:rFonts w:ascii="Times New Roman" w:eastAsia="Times New Roman" w:hAnsi="Times New Roman" w:cs="Times New Roman"/>
          <w:color w:val="000000"/>
          <w:kern w:val="0"/>
          <w:sz w:val="19"/>
          <w:szCs w:val="19"/>
          <w:lang w:val="uk-UA" w:eastAsia="ru-RU" w:bidi="ru-RU"/>
        </w:rPr>
        <w:t xml:space="preserve">про </w:t>
      </w:r>
      <w:r w:rsidRPr="006E41EF">
        <w:rPr>
          <w:rFonts w:ascii="Times New Roman" w:eastAsia="Times New Roman" w:hAnsi="Times New Roman" w:cs="Times New Roman"/>
          <w:color w:val="000000"/>
          <w:kern w:val="0"/>
          <w:sz w:val="19"/>
          <w:szCs w:val="19"/>
          <w:lang w:val="uk-UA" w:eastAsia="uk-UA" w:bidi="uk-UA"/>
        </w:rPr>
        <w:t xml:space="preserve">внутрішній стан системи, </w:t>
      </w:r>
      <w:r w:rsidRPr="006E41EF">
        <w:rPr>
          <w:rFonts w:ascii="Times New Roman" w:eastAsia="Times New Roman" w:hAnsi="Times New Roman" w:cs="Times New Roman"/>
          <w:color w:val="000000"/>
          <w:kern w:val="0"/>
          <w:sz w:val="19"/>
          <w:szCs w:val="19"/>
          <w:lang w:val="uk-UA" w:eastAsia="ru-RU" w:bidi="ru-RU"/>
        </w:rPr>
        <w:t xml:space="preserve">характер </w:t>
      </w:r>
      <w:r w:rsidRPr="006E41EF">
        <w:rPr>
          <w:rFonts w:ascii="Times New Roman" w:eastAsia="Times New Roman" w:hAnsi="Times New Roman" w:cs="Times New Roman"/>
          <w:color w:val="000000"/>
          <w:kern w:val="0"/>
          <w:sz w:val="19"/>
          <w:szCs w:val="19"/>
          <w:lang w:val="uk-UA" w:eastAsia="uk-UA" w:bidi="uk-UA"/>
        </w:rPr>
        <w:t xml:space="preserve">зовнішніх і внутрішніх впливів на неї, як необхідної умови ухвалення управлінських рішень </w:t>
      </w:r>
      <w:r w:rsidRPr="006E41EF">
        <w:rPr>
          <w:rFonts w:ascii="Times New Roman" w:eastAsia="Times New Roman" w:hAnsi="Times New Roman" w:cs="Times New Roman"/>
          <w:color w:val="000000"/>
          <w:kern w:val="0"/>
          <w:sz w:val="19"/>
          <w:szCs w:val="19"/>
          <w:lang w:val="uk-UA" w:eastAsia="ru-RU" w:bidi="ru-RU"/>
        </w:rPr>
        <w:t xml:space="preserve">для </w:t>
      </w:r>
      <w:r w:rsidRPr="006E41EF">
        <w:rPr>
          <w:rFonts w:ascii="Times New Roman" w:eastAsia="Times New Roman" w:hAnsi="Times New Roman" w:cs="Times New Roman"/>
          <w:color w:val="000000"/>
          <w:kern w:val="0"/>
          <w:sz w:val="19"/>
          <w:szCs w:val="19"/>
          <w:lang w:val="uk-UA" w:eastAsia="uk-UA" w:bidi="uk-UA"/>
        </w:rPr>
        <w:t>забезпечення її функціонування та розвитку. Визначено, як провідні, такі аспекти управління освітнім процесом ЗВО:</w:t>
      </w:r>
      <w:r w:rsidRPr="006E41EF">
        <w:rPr>
          <w:rFonts w:ascii="Times New Roman" w:eastAsia="Times New Roman" w:hAnsi="Times New Roman" w:cs="Times New Roman"/>
          <w:color w:val="000000"/>
          <w:kern w:val="0"/>
          <w:sz w:val="19"/>
          <w:szCs w:val="19"/>
          <w:lang w:val="uk-UA" w:eastAsia="uk-UA" w:bidi="uk-UA"/>
        </w:rPr>
        <w:tab/>
        <w:t>потреби та запити студентів, комфортність</w:t>
      </w:r>
    </w:p>
    <w:p w14:paraId="68A223A9" w14:textId="77777777" w:rsidR="006E41EF" w:rsidRPr="006E41EF" w:rsidRDefault="006E41EF" w:rsidP="006E41EF">
      <w:pPr>
        <w:framePr w:w="9562" w:h="13925" w:hRule="exact" w:wrap="none" w:vAnchor="page" w:hAnchor="page" w:x="1461" w:y="1298"/>
        <w:tabs>
          <w:tab w:val="clear" w:pos="709"/>
          <w:tab w:val="left" w:pos="2074"/>
          <w:tab w:val="left" w:pos="9158"/>
        </w:tabs>
        <w:suppressAutoHyphens w:val="0"/>
        <w:spacing w:after="0" w:line="461" w:lineRule="exact"/>
        <w:ind w:firstLine="0"/>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 xml:space="preserve">життєдіяльності та середовище закладу вищої освіти як самоорганізуючої системи з набором відповідних функцій, зокрема й </w:t>
      </w:r>
      <w:proofErr w:type="spellStart"/>
      <w:r w:rsidRPr="006E41EF">
        <w:rPr>
          <w:rFonts w:ascii="Times New Roman" w:eastAsia="Times New Roman" w:hAnsi="Times New Roman" w:cs="Times New Roman"/>
          <w:color w:val="000000"/>
          <w:kern w:val="0"/>
          <w:sz w:val="19"/>
          <w:szCs w:val="19"/>
          <w:lang w:val="uk-UA" w:eastAsia="uk-UA" w:bidi="uk-UA"/>
        </w:rPr>
        <w:t>маркетинго</w:t>
      </w:r>
      <w:proofErr w:type="spellEnd"/>
      <w:r w:rsidRPr="006E41EF">
        <w:rPr>
          <w:rFonts w:ascii="Times New Roman" w:eastAsia="Times New Roman" w:hAnsi="Times New Roman" w:cs="Times New Roman"/>
          <w:color w:val="000000"/>
          <w:kern w:val="0"/>
          <w:sz w:val="19"/>
          <w:szCs w:val="19"/>
          <w:lang w:val="uk-UA" w:eastAsia="uk-UA" w:bidi="uk-UA"/>
        </w:rPr>
        <w:t>-зорієнтованих, врахування людського чинника через категорію потенціалу учасників освітнього процесу, а також розуміння ЗВО як відкритої соціально-педагогічної системи. Крім того, обґрунтовано,</w:t>
      </w:r>
      <w:r w:rsidRPr="006E41EF">
        <w:rPr>
          <w:rFonts w:ascii="Times New Roman" w:eastAsia="Times New Roman" w:hAnsi="Times New Roman" w:cs="Times New Roman"/>
          <w:color w:val="000000"/>
          <w:kern w:val="0"/>
          <w:sz w:val="19"/>
          <w:szCs w:val="19"/>
          <w:lang w:val="uk-UA" w:eastAsia="uk-UA" w:bidi="uk-UA"/>
        </w:rPr>
        <w:tab/>
        <w:t>що для успішності управлінської діяльності</w:t>
      </w:r>
      <w:r w:rsidRPr="006E41EF">
        <w:rPr>
          <w:rFonts w:ascii="Times New Roman" w:eastAsia="Times New Roman" w:hAnsi="Times New Roman" w:cs="Times New Roman"/>
          <w:color w:val="000000"/>
          <w:kern w:val="0"/>
          <w:sz w:val="19"/>
          <w:szCs w:val="19"/>
          <w:lang w:val="uk-UA" w:eastAsia="uk-UA" w:bidi="uk-UA"/>
        </w:rPr>
        <w:tab/>
        <w:t>в</w:t>
      </w:r>
    </w:p>
    <w:p w14:paraId="2F3EFEAF" w14:textId="77777777" w:rsidR="006E41EF" w:rsidRPr="006E41EF" w:rsidRDefault="006E41EF" w:rsidP="006E41EF">
      <w:pPr>
        <w:framePr w:w="9562" w:h="13925" w:hRule="exact" w:wrap="none" w:vAnchor="page" w:hAnchor="page" w:x="1461" w:y="1298"/>
        <w:tabs>
          <w:tab w:val="clear" w:pos="709"/>
          <w:tab w:val="left" w:pos="2074"/>
          <w:tab w:val="left" w:pos="2654"/>
          <w:tab w:val="left" w:pos="5381"/>
          <w:tab w:val="left" w:pos="7334"/>
          <w:tab w:val="left" w:pos="9158"/>
        </w:tabs>
        <w:suppressAutoHyphens w:val="0"/>
        <w:spacing w:after="0" w:line="461" w:lineRule="exact"/>
        <w:ind w:firstLine="0"/>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соціально-педагогічних системах необхідно враховувати три складові: цільовий вплив, самоорганізацію та організаційний порядок, що презентується через культуру ЗВО</w:t>
      </w:r>
      <w:r w:rsidRPr="006E41EF">
        <w:rPr>
          <w:rFonts w:ascii="Times New Roman" w:eastAsia="Times New Roman" w:hAnsi="Times New Roman" w:cs="Times New Roman"/>
          <w:color w:val="000000"/>
          <w:kern w:val="0"/>
          <w:sz w:val="19"/>
          <w:szCs w:val="19"/>
          <w:lang w:val="uk-UA" w:eastAsia="uk-UA" w:bidi="uk-UA"/>
        </w:rPr>
        <w:tab/>
        <w:t>та</w:t>
      </w:r>
      <w:r w:rsidRPr="006E41EF">
        <w:rPr>
          <w:rFonts w:ascii="Times New Roman" w:eastAsia="Times New Roman" w:hAnsi="Times New Roman" w:cs="Times New Roman"/>
          <w:color w:val="000000"/>
          <w:kern w:val="0"/>
          <w:sz w:val="19"/>
          <w:szCs w:val="19"/>
          <w:lang w:val="uk-UA" w:eastAsia="uk-UA" w:bidi="uk-UA"/>
        </w:rPr>
        <w:tab/>
        <w:t>культуру цільового</w:t>
      </w:r>
      <w:r w:rsidRPr="006E41EF">
        <w:rPr>
          <w:rFonts w:ascii="Times New Roman" w:eastAsia="Times New Roman" w:hAnsi="Times New Roman" w:cs="Times New Roman"/>
          <w:color w:val="000000"/>
          <w:kern w:val="0"/>
          <w:sz w:val="19"/>
          <w:szCs w:val="19"/>
          <w:lang w:val="uk-UA" w:eastAsia="uk-UA" w:bidi="uk-UA"/>
        </w:rPr>
        <w:tab/>
        <w:t>управління і</w:t>
      </w:r>
      <w:r w:rsidRPr="006E41EF">
        <w:rPr>
          <w:rFonts w:ascii="Times New Roman" w:eastAsia="Times New Roman" w:hAnsi="Times New Roman" w:cs="Times New Roman"/>
          <w:color w:val="000000"/>
          <w:kern w:val="0"/>
          <w:sz w:val="19"/>
          <w:szCs w:val="19"/>
          <w:lang w:val="uk-UA" w:eastAsia="uk-UA" w:bidi="uk-UA"/>
        </w:rPr>
        <w:tab/>
        <w:t>проявляється</w:t>
      </w:r>
      <w:r w:rsidRPr="006E41EF">
        <w:rPr>
          <w:rFonts w:ascii="Times New Roman" w:eastAsia="Times New Roman" w:hAnsi="Times New Roman" w:cs="Times New Roman"/>
          <w:color w:val="000000"/>
          <w:kern w:val="0"/>
          <w:sz w:val="19"/>
          <w:szCs w:val="19"/>
          <w:lang w:val="uk-UA" w:eastAsia="uk-UA" w:bidi="uk-UA"/>
        </w:rPr>
        <w:tab/>
        <w:t>на</w:t>
      </w:r>
    </w:p>
    <w:p w14:paraId="1EBD55D2" w14:textId="77777777" w:rsidR="006E41EF" w:rsidRPr="006E41EF" w:rsidRDefault="006E41EF" w:rsidP="006E41EF">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val="uk-UA" w:eastAsia="uk-UA" w:bidi="uk-UA"/>
        </w:rPr>
        <w:sectPr w:rsidR="006E41EF" w:rsidRPr="006E41EF">
          <w:pgSz w:w="11900" w:h="16840"/>
          <w:pgMar w:top="360" w:right="360" w:bottom="360" w:left="360" w:header="0" w:footer="3" w:gutter="0"/>
          <w:cols w:space="720"/>
          <w:noEndnote/>
          <w:docGrid w:linePitch="360"/>
        </w:sectPr>
      </w:pPr>
    </w:p>
    <w:p w14:paraId="60920F63" w14:textId="77777777" w:rsidR="006E41EF" w:rsidRPr="006E41EF" w:rsidRDefault="006E41EF" w:rsidP="006E41EF">
      <w:pPr>
        <w:framePr w:w="9562" w:h="269" w:hRule="exact" w:wrap="none" w:vAnchor="page" w:hAnchor="page" w:x="1461" w:y="1067"/>
        <w:tabs>
          <w:tab w:val="clear" w:pos="709"/>
        </w:tabs>
        <w:suppressAutoHyphens w:val="0"/>
        <w:spacing w:after="0" w:line="240" w:lineRule="exact"/>
        <w:ind w:firstLine="0"/>
        <w:jc w:val="right"/>
        <w:rPr>
          <w:rFonts w:ascii="Times New Roman" w:eastAsia="Times New Roman" w:hAnsi="Times New Roman" w:cs="Times New Roman"/>
          <w:kern w:val="0"/>
          <w:sz w:val="24"/>
          <w:szCs w:val="24"/>
          <w:lang w:eastAsia="ru-RU" w:bidi="ru-RU"/>
        </w:rPr>
      </w:pPr>
      <w:r w:rsidRPr="006E41EF">
        <w:rPr>
          <w:rFonts w:ascii="Times New Roman" w:eastAsia="Times New Roman" w:hAnsi="Times New Roman" w:cs="Times New Roman"/>
          <w:color w:val="000000"/>
          <w:kern w:val="0"/>
          <w:sz w:val="24"/>
          <w:szCs w:val="24"/>
          <w:lang w:eastAsia="ru-RU" w:bidi="ru-RU"/>
        </w:rPr>
        <w:lastRenderedPageBreak/>
        <w:t>360</w:t>
      </w:r>
    </w:p>
    <w:p w14:paraId="5E652859" w14:textId="77777777" w:rsidR="006E41EF" w:rsidRPr="006E41EF" w:rsidRDefault="006E41EF" w:rsidP="006E41EF">
      <w:pPr>
        <w:framePr w:w="9562" w:h="13901" w:hRule="exact" w:wrap="none" w:vAnchor="page" w:hAnchor="page" w:x="1461" w:y="1327"/>
        <w:tabs>
          <w:tab w:val="clear" w:pos="709"/>
          <w:tab w:val="left" w:pos="2074"/>
          <w:tab w:val="left" w:pos="2654"/>
          <w:tab w:val="left" w:pos="5381"/>
          <w:tab w:val="left" w:pos="7334"/>
          <w:tab w:val="left" w:pos="9158"/>
        </w:tabs>
        <w:suppressAutoHyphens w:val="0"/>
        <w:spacing w:after="0" w:line="461" w:lineRule="exact"/>
        <w:ind w:firstLine="0"/>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інституційному, функціональному й інструментальному рівнях. Уточнено цикл управління освітнім процесом у ЗВО через визначення послідовності дій суб’єкта й об’єкта управління як взаємопов’язаних і підпорядкованих визначеній меті засобам забезпечення якості освітнього процесу.</w:t>
      </w:r>
    </w:p>
    <w:p w14:paraId="69C9C0EF" w14:textId="77777777" w:rsidR="006E41EF" w:rsidRPr="006E41EF" w:rsidRDefault="006E41EF" w:rsidP="00281AB3">
      <w:pPr>
        <w:framePr w:w="9562" w:h="13901" w:hRule="exact" w:wrap="none" w:vAnchor="page" w:hAnchor="page" w:x="1461" w:y="1327"/>
        <w:numPr>
          <w:ilvl w:val="0"/>
          <w:numId w:val="5"/>
        </w:numPr>
        <w:tabs>
          <w:tab w:val="clear" w:pos="709"/>
          <w:tab w:val="left" w:pos="1094"/>
        </w:tabs>
        <w:suppressAutoHyphens w:val="0"/>
        <w:spacing w:after="0" w:line="461" w:lineRule="exact"/>
        <w:jc w:val="left"/>
        <w:rPr>
          <w:rFonts w:ascii="Times New Roman" w:eastAsia="Times New Roman" w:hAnsi="Times New Roman" w:cs="Times New Roman"/>
          <w:kern w:val="0"/>
          <w:sz w:val="19"/>
          <w:szCs w:val="19"/>
          <w:lang w:val="uk-UA" w:eastAsia="uk-UA" w:bidi="uk-UA"/>
        </w:rPr>
      </w:pPr>
      <w:r w:rsidRPr="006E41EF">
        <w:rPr>
          <w:rFonts w:ascii="Times New Roman" w:eastAsia="Times New Roman" w:hAnsi="Times New Roman" w:cs="Times New Roman"/>
          <w:color w:val="000000"/>
          <w:kern w:val="0"/>
          <w:sz w:val="19"/>
          <w:szCs w:val="19"/>
          <w:lang w:val="uk-UA" w:eastAsia="uk-UA" w:bidi="uk-UA"/>
        </w:rPr>
        <w:t xml:space="preserve">Встановлено, що соціальні потреби здобувача вищої освіти в підтримці є історично сталими і транслюються зміною її форм та видів відповідно до пріоритетів соціально-політичного устрою країни через її носіїв - заклади вищої освіти. Це відображається в послідовних змінах індивідуальних і групових форм підтримки здобувача освіти та наборі рольових позицій </w:t>
      </w:r>
      <w:r w:rsidRPr="006E41EF">
        <w:rPr>
          <w:rFonts w:ascii="Times New Roman" w:eastAsia="Times New Roman" w:hAnsi="Times New Roman" w:cs="Times New Roman"/>
          <w:color w:val="000000"/>
          <w:kern w:val="0"/>
          <w:sz w:val="19"/>
          <w:szCs w:val="19"/>
          <w:lang w:val="uk-UA" w:eastAsia="ru-RU" w:bidi="ru-RU"/>
        </w:rPr>
        <w:t xml:space="preserve">тих, </w:t>
      </w:r>
      <w:r w:rsidRPr="006E41EF">
        <w:rPr>
          <w:rFonts w:ascii="Times New Roman" w:eastAsia="Times New Roman" w:hAnsi="Times New Roman" w:cs="Times New Roman"/>
          <w:color w:val="000000"/>
          <w:kern w:val="0"/>
          <w:sz w:val="19"/>
          <w:szCs w:val="19"/>
          <w:lang w:val="uk-UA" w:eastAsia="uk-UA" w:bidi="uk-UA"/>
        </w:rPr>
        <w:t xml:space="preserve">кому делегується функція підтримки, а саме: </w:t>
      </w:r>
      <w:proofErr w:type="spellStart"/>
      <w:r w:rsidRPr="006E41EF">
        <w:rPr>
          <w:rFonts w:ascii="Times New Roman" w:eastAsia="Times New Roman" w:hAnsi="Times New Roman" w:cs="Times New Roman"/>
          <w:color w:val="000000"/>
          <w:kern w:val="0"/>
          <w:sz w:val="19"/>
          <w:szCs w:val="19"/>
          <w:lang w:val="uk-UA" w:eastAsia="ru-RU" w:bidi="ru-RU"/>
        </w:rPr>
        <w:t>тьютора</w:t>
      </w:r>
      <w:proofErr w:type="spellEnd"/>
      <w:r w:rsidRPr="006E41EF">
        <w:rPr>
          <w:rFonts w:ascii="Times New Roman" w:eastAsia="Times New Roman" w:hAnsi="Times New Roman" w:cs="Times New Roman"/>
          <w:color w:val="000000"/>
          <w:kern w:val="0"/>
          <w:sz w:val="19"/>
          <w:szCs w:val="19"/>
          <w:lang w:val="uk-UA" w:eastAsia="ru-RU" w:bidi="ru-RU"/>
        </w:rPr>
        <w:t xml:space="preserve">, </w:t>
      </w:r>
      <w:proofErr w:type="spellStart"/>
      <w:r w:rsidRPr="006E41EF">
        <w:rPr>
          <w:rFonts w:ascii="Times New Roman" w:eastAsia="Times New Roman" w:hAnsi="Times New Roman" w:cs="Times New Roman"/>
          <w:color w:val="000000"/>
          <w:kern w:val="0"/>
          <w:sz w:val="19"/>
          <w:szCs w:val="19"/>
          <w:lang w:val="uk-UA" w:eastAsia="ru-RU" w:bidi="ru-RU"/>
        </w:rPr>
        <w:t>коуча</w:t>
      </w:r>
      <w:proofErr w:type="spellEnd"/>
      <w:r w:rsidRPr="006E41EF">
        <w:rPr>
          <w:rFonts w:ascii="Times New Roman" w:eastAsia="Times New Roman" w:hAnsi="Times New Roman" w:cs="Times New Roman"/>
          <w:color w:val="000000"/>
          <w:kern w:val="0"/>
          <w:sz w:val="19"/>
          <w:szCs w:val="19"/>
          <w:lang w:val="uk-UA" w:eastAsia="ru-RU" w:bidi="ru-RU"/>
        </w:rPr>
        <w:t xml:space="preserve">, </w:t>
      </w:r>
      <w:proofErr w:type="spellStart"/>
      <w:r w:rsidRPr="006E41EF">
        <w:rPr>
          <w:rFonts w:ascii="Times New Roman" w:eastAsia="Times New Roman" w:hAnsi="Times New Roman" w:cs="Times New Roman"/>
          <w:color w:val="000000"/>
          <w:kern w:val="0"/>
          <w:sz w:val="19"/>
          <w:szCs w:val="19"/>
          <w:lang w:val="uk-UA" w:eastAsia="uk-UA" w:bidi="uk-UA"/>
        </w:rPr>
        <w:t>едвайзера</w:t>
      </w:r>
      <w:proofErr w:type="spellEnd"/>
      <w:r w:rsidRPr="006E41EF">
        <w:rPr>
          <w:rFonts w:ascii="Times New Roman" w:eastAsia="Times New Roman" w:hAnsi="Times New Roman" w:cs="Times New Roman"/>
          <w:color w:val="000000"/>
          <w:kern w:val="0"/>
          <w:sz w:val="19"/>
          <w:szCs w:val="19"/>
          <w:lang w:val="uk-UA" w:eastAsia="uk-UA" w:bidi="uk-UA"/>
        </w:rPr>
        <w:t xml:space="preserve">, репетитора, супервізора, наставника, опікуна/піклувальника, класного керівника, куратора, майстра, </w:t>
      </w:r>
      <w:proofErr w:type="spellStart"/>
      <w:r w:rsidRPr="006E41EF">
        <w:rPr>
          <w:rFonts w:ascii="Times New Roman" w:eastAsia="Times New Roman" w:hAnsi="Times New Roman" w:cs="Times New Roman"/>
          <w:color w:val="000000"/>
          <w:kern w:val="0"/>
          <w:sz w:val="19"/>
          <w:szCs w:val="19"/>
          <w:lang w:val="uk-UA" w:eastAsia="uk-UA" w:bidi="uk-UA"/>
        </w:rPr>
        <w:t>фасилітатора</w:t>
      </w:r>
      <w:proofErr w:type="spellEnd"/>
      <w:r w:rsidRPr="006E41EF">
        <w:rPr>
          <w:rFonts w:ascii="Times New Roman" w:eastAsia="Times New Roman" w:hAnsi="Times New Roman" w:cs="Times New Roman"/>
          <w:color w:val="000000"/>
          <w:kern w:val="0"/>
          <w:sz w:val="19"/>
          <w:szCs w:val="19"/>
          <w:lang w:val="uk-UA" w:eastAsia="uk-UA" w:bidi="uk-UA"/>
        </w:rPr>
        <w:t xml:space="preserve"> тощо. Історично стверджена патерналістська підтримка здобувача вищої освіти укріпила її привілейовану позицію як соціального блага, що традиційно реалізується через фінансово-побутове утримання студента його </w:t>
      </w:r>
      <w:r w:rsidRPr="006E41EF">
        <w:rPr>
          <w:rFonts w:ascii="Times New Roman" w:eastAsia="Times New Roman" w:hAnsi="Times New Roman" w:cs="Times New Roman"/>
          <w:color w:val="000000"/>
          <w:kern w:val="0"/>
          <w:sz w:val="19"/>
          <w:szCs w:val="19"/>
          <w:lang w:val="uk-UA" w:eastAsia="ru-RU" w:bidi="ru-RU"/>
        </w:rPr>
        <w:t xml:space="preserve">родиною, </w:t>
      </w:r>
      <w:r w:rsidRPr="006E41EF">
        <w:rPr>
          <w:rFonts w:ascii="Times New Roman" w:eastAsia="Times New Roman" w:hAnsi="Times New Roman" w:cs="Times New Roman"/>
          <w:color w:val="000000"/>
          <w:kern w:val="0"/>
          <w:sz w:val="19"/>
          <w:szCs w:val="19"/>
          <w:lang w:val="uk-UA" w:eastAsia="uk-UA" w:bidi="uk-UA"/>
        </w:rPr>
        <w:t xml:space="preserve">спрямовуючи таким чином самовизначення молодої людини в освітньому та професійному ствердженні, згідно з перспективним баченням її батьків. У дослідженні підкреслюється, що історично встановленому факту доступності вищої освіти передувало започаткування її державного фінансування, що супроводжується </w:t>
      </w:r>
      <w:r w:rsidRPr="006E41EF">
        <w:rPr>
          <w:rFonts w:ascii="Times New Roman" w:eastAsia="Times New Roman" w:hAnsi="Times New Roman" w:cs="Times New Roman"/>
          <w:color w:val="000000"/>
          <w:kern w:val="0"/>
          <w:sz w:val="19"/>
          <w:szCs w:val="19"/>
          <w:lang w:val="uk-UA" w:eastAsia="ru-RU" w:bidi="ru-RU"/>
        </w:rPr>
        <w:t xml:space="preserve">такими </w:t>
      </w:r>
      <w:r w:rsidRPr="006E41EF">
        <w:rPr>
          <w:rFonts w:ascii="Times New Roman" w:eastAsia="Times New Roman" w:hAnsi="Times New Roman" w:cs="Times New Roman"/>
          <w:color w:val="000000"/>
          <w:kern w:val="0"/>
          <w:sz w:val="19"/>
          <w:szCs w:val="19"/>
          <w:lang w:val="uk-UA" w:eastAsia="uk-UA" w:bidi="uk-UA"/>
        </w:rPr>
        <w:t xml:space="preserve">формами індивідуальної фінансово-побутової підтримки студента: надання гуртожитку, призначення стипендії (державної, спеціальної, наукової тощо), соціальних виплат, а також програм підтримки через гранди, конкурси тощо. Проведений аналіз потреб та запитів студентів України і Республіки Польщі щодо вищої освіти засвідчив нагальність перегляду форм реалізації системи підтримки студента не через патерналізм у її реалізації, а через пошук управлінських форм ствердження самодостатності здобувачів вищої освіти. Зазначене здійснюється засобом переключення уваги з позиції несамостійності студента на позицію фокусування на його сильних сторонах, співучасті та посилення суб’єктно-суб’єктної взаємодії учасників освітнього процесу і його </w:t>
      </w:r>
      <w:proofErr w:type="spellStart"/>
      <w:r w:rsidRPr="006E41EF">
        <w:rPr>
          <w:rFonts w:ascii="Times New Roman" w:eastAsia="Times New Roman" w:hAnsi="Times New Roman" w:cs="Times New Roman"/>
          <w:color w:val="000000"/>
          <w:kern w:val="0"/>
          <w:sz w:val="19"/>
          <w:szCs w:val="19"/>
          <w:lang w:val="uk-UA" w:eastAsia="uk-UA" w:bidi="uk-UA"/>
        </w:rPr>
        <w:t>стейкхолдерів</w:t>
      </w:r>
      <w:proofErr w:type="spellEnd"/>
      <w:r w:rsidRPr="006E41EF">
        <w:rPr>
          <w:rFonts w:ascii="Times New Roman" w:eastAsia="Times New Roman" w:hAnsi="Times New Roman" w:cs="Times New Roman"/>
          <w:color w:val="000000"/>
          <w:kern w:val="0"/>
          <w:sz w:val="19"/>
          <w:szCs w:val="19"/>
          <w:lang w:val="uk-UA" w:eastAsia="uk-UA" w:bidi="uk-UA"/>
        </w:rPr>
        <w:t>, поширення й укріплення державних програм фінансової підтримки тощо.</w:t>
      </w:r>
    </w:p>
    <w:p w14:paraId="651B8BC6" w14:textId="77777777" w:rsidR="006E41EF" w:rsidRPr="006E41EF" w:rsidRDefault="006E41EF" w:rsidP="006E41EF">
      <w:pPr>
        <w:rPr>
          <w:lang w:val="uk-UA"/>
        </w:rPr>
      </w:pPr>
    </w:p>
    <w:sectPr w:rsidR="006E41EF" w:rsidRPr="006E41EF" w:rsidSect="00944D6B">
      <w:headerReference w:type="default" r:id="rId12"/>
      <w:footerReference w:type="even" r:id="rId13"/>
      <w:footerReference w:type="default" r:id="rId14"/>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EE5F" w14:textId="77777777" w:rsidR="00281AB3" w:rsidRDefault="00281AB3">
      <w:pPr>
        <w:spacing w:after="0" w:line="240" w:lineRule="auto"/>
      </w:pPr>
      <w:r>
        <w:separator/>
      </w:r>
    </w:p>
  </w:endnote>
  <w:endnote w:type="continuationSeparator" w:id="0">
    <w:p w14:paraId="66A0A28D" w14:textId="77777777" w:rsidR="00281AB3" w:rsidRDefault="0028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B12A" w14:textId="77777777" w:rsidR="00281AB3" w:rsidRDefault="00281AB3"/>
    <w:p w14:paraId="6DDF7235" w14:textId="77777777" w:rsidR="00281AB3" w:rsidRDefault="00281AB3"/>
    <w:p w14:paraId="302D4A99" w14:textId="77777777" w:rsidR="00281AB3" w:rsidRDefault="00281AB3"/>
    <w:p w14:paraId="5493A66C" w14:textId="77777777" w:rsidR="00281AB3" w:rsidRDefault="00281AB3"/>
    <w:p w14:paraId="3F646B14" w14:textId="77777777" w:rsidR="00281AB3" w:rsidRDefault="00281AB3"/>
    <w:p w14:paraId="0A6CC30C" w14:textId="77777777" w:rsidR="00281AB3" w:rsidRDefault="00281AB3"/>
    <w:p w14:paraId="0983629A" w14:textId="77777777" w:rsidR="00281AB3" w:rsidRDefault="00281A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47DF58" wp14:editId="4E5011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36AD" w14:textId="77777777" w:rsidR="00281AB3" w:rsidRDefault="00281A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47DF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3536AD" w14:textId="77777777" w:rsidR="00281AB3" w:rsidRDefault="00281A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6A6D1D" w14:textId="77777777" w:rsidR="00281AB3" w:rsidRDefault="00281AB3"/>
    <w:p w14:paraId="5DE8A9BB" w14:textId="77777777" w:rsidR="00281AB3" w:rsidRDefault="00281AB3"/>
    <w:p w14:paraId="41C44D9D" w14:textId="77777777" w:rsidR="00281AB3" w:rsidRDefault="00281A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C30A76" wp14:editId="057551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16982" w14:textId="77777777" w:rsidR="00281AB3" w:rsidRDefault="00281AB3"/>
                          <w:p w14:paraId="11196277" w14:textId="77777777" w:rsidR="00281AB3" w:rsidRDefault="00281A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30A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616982" w14:textId="77777777" w:rsidR="00281AB3" w:rsidRDefault="00281AB3"/>
                    <w:p w14:paraId="11196277" w14:textId="77777777" w:rsidR="00281AB3" w:rsidRDefault="00281A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26258" w14:textId="77777777" w:rsidR="00281AB3" w:rsidRDefault="00281AB3"/>
    <w:p w14:paraId="61E3896E" w14:textId="77777777" w:rsidR="00281AB3" w:rsidRDefault="00281AB3">
      <w:pPr>
        <w:rPr>
          <w:sz w:val="2"/>
          <w:szCs w:val="2"/>
        </w:rPr>
      </w:pPr>
    </w:p>
    <w:p w14:paraId="711C3B64" w14:textId="77777777" w:rsidR="00281AB3" w:rsidRDefault="00281AB3"/>
    <w:p w14:paraId="631F63E3" w14:textId="77777777" w:rsidR="00281AB3" w:rsidRDefault="00281AB3">
      <w:pPr>
        <w:spacing w:after="0" w:line="240" w:lineRule="auto"/>
      </w:pPr>
    </w:p>
  </w:footnote>
  <w:footnote w:type="continuationSeparator" w:id="0">
    <w:p w14:paraId="5D127B6B" w14:textId="77777777" w:rsidR="00281AB3" w:rsidRDefault="0028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nag\AppData\Local\Temp\_tc\1.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nag\AppData\Local\Temp\_tc\1.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manag\AppData\Local\Temp\_tc\1.docx" TargetMode="External"/><Relationship Id="rId4" Type="http://schemas.openxmlformats.org/officeDocument/2006/relationships/settings" Target="settings.xml"/><Relationship Id="rId9" Type="http://schemas.openxmlformats.org/officeDocument/2006/relationships/hyperlink" Target="file:///C:\Users\manag\AppData\Local\Temp\_tc\1.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175247</TotalTime>
  <Pages>7</Pages>
  <Words>1730</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5670</cp:revision>
  <cp:lastPrinted>2009-02-06T05:36:00Z</cp:lastPrinted>
  <dcterms:created xsi:type="dcterms:W3CDTF">2024-01-07T13:43:00Z</dcterms:created>
  <dcterms:modified xsi:type="dcterms:W3CDTF">2025-10-01T21:42:00Z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