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0E97C" w14:textId="29A46F29" w:rsidR="00BD47B1" w:rsidRDefault="002367E8" w:rsidP="002367E8">
      <w:pPr>
        <w:rPr>
          <w:rFonts w:ascii="Verdana" w:hAnsi="Verdana"/>
          <w:b/>
          <w:bCs/>
          <w:color w:val="000000"/>
          <w:shd w:val="clear" w:color="auto" w:fill="FFFFFF"/>
        </w:rPr>
      </w:pPr>
      <w:r>
        <w:rPr>
          <w:rFonts w:ascii="Verdana" w:hAnsi="Verdana"/>
          <w:b/>
          <w:bCs/>
          <w:color w:val="000000"/>
          <w:shd w:val="clear" w:color="auto" w:fill="FFFFFF"/>
        </w:rPr>
        <w:t>Дронова Вікторія Леонідівна. Хронічні запальні захворювання жіночих статевих органів (епідеміологія, клініка, діагностика, лікування та прогнозування ускладнень): дис... д- ра мед. наук: 14.01.01 / Інститут педіатрії, акушерства та гінекології АМН України.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367E8" w:rsidRPr="002367E8" w14:paraId="6DB64A28" w14:textId="77777777" w:rsidTr="002367E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367E8" w:rsidRPr="002367E8" w14:paraId="6F1CEF4A" w14:textId="77777777">
              <w:trPr>
                <w:tblCellSpacing w:w="0" w:type="dxa"/>
              </w:trPr>
              <w:tc>
                <w:tcPr>
                  <w:tcW w:w="0" w:type="auto"/>
                  <w:vAlign w:val="center"/>
                  <w:hideMark/>
                </w:tcPr>
                <w:p w14:paraId="1435649A" w14:textId="77777777" w:rsidR="002367E8" w:rsidRPr="002367E8" w:rsidRDefault="002367E8" w:rsidP="002367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67E8">
                    <w:rPr>
                      <w:rFonts w:ascii="Times New Roman" w:eastAsia="Times New Roman" w:hAnsi="Times New Roman" w:cs="Times New Roman"/>
                      <w:sz w:val="24"/>
                      <w:szCs w:val="24"/>
                    </w:rPr>
                    <w:lastRenderedPageBreak/>
                    <w:t>Дронова В.Л. Хронічні запальні захворювання жіночих статевих органів (епідеміологія, клініка, діагностика, лікування та прогнозування ускладнень). – Рукопис.</w:t>
                  </w:r>
                </w:p>
                <w:p w14:paraId="5F612B28" w14:textId="77777777" w:rsidR="002367E8" w:rsidRPr="002367E8" w:rsidRDefault="002367E8" w:rsidP="002367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67E8">
                    <w:rPr>
                      <w:rFonts w:ascii="Times New Roman" w:eastAsia="Times New Roman" w:hAnsi="Times New Roman" w:cs="Times New Roman"/>
                      <w:sz w:val="24"/>
                      <w:szCs w:val="24"/>
                    </w:rPr>
                    <w:t>Дисертація на здобуття наукового ступеня доктора медичних наук за спеціальністю 14.01.01. – акушерство та гінекологія. Інститут педіатрії, акушерства та гінекології Академії медичних наук України, Київ, 2004.</w:t>
                  </w:r>
                </w:p>
                <w:p w14:paraId="2DC174C0" w14:textId="77777777" w:rsidR="002367E8" w:rsidRPr="002367E8" w:rsidRDefault="002367E8" w:rsidP="002367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67E8">
                    <w:rPr>
                      <w:rFonts w:ascii="Times New Roman" w:eastAsia="Times New Roman" w:hAnsi="Times New Roman" w:cs="Times New Roman"/>
                      <w:sz w:val="24"/>
                      <w:szCs w:val="24"/>
                    </w:rPr>
                    <w:t>В роботі проведені клініко-епідеміологічні дослідження у жінок фертильного віку, мешканок великого промислового району, та встановлена частота хронічних запальних захворювань статевих органів (ХЗЗСО) в популяції (37,5%). Встановлені особливості мікробіоцинозу урогенітальних органів, імунного статусу, психоемоційного та сексуального станів, морфо-функціонального стану клітин статевих органів. 3'ясована етілогічна роль соціально-екомномічних та екзогенних факторів.</w:t>
                  </w:r>
                </w:p>
                <w:p w14:paraId="71A8ADB5" w14:textId="77777777" w:rsidR="002367E8" w:rsidRPr="002367E8" w:rsidRDefault="002367E8" w:rsidP="002367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67E8">
                    <w:rPr>
                      <w:rFonts w:ascii="Times New Roman" w:eastAsia="Times New Roman" w:hAnsi="Times New Roman" w:cs="Times New Roman"/>
                      <w:sz w:val="24"/>
                      <w:szCs w:val="24"/>
                    </w:rPr>
                    <w:t>На основі аналізу клініко-параклінічних даних, з урахуванням прогнозу факторів ризику ХЗЗСО, розроблені математичні моделі та алгоритми прогнозування порушень репродуктивного здоров’я, а також впроваджені патогенетично обгрунтовані схеми лікування, дозволили знизити частоту ускладнень репродуктивного здоров'я у жінок з хронічними запальними захворюваннями в 2,5 рази.</w:t>
                  </w:r>
                </w:p>
              </w:tc>
            </w:tr>
          </w:tbl>
          <w:p w14:paraId="4414D182" w14:textId="77777777" w:rsidR="002367E8" w:rsidRPr="002367E8" w:rsidRDefault="002367E8" w:rsidP="002367E8">
            <w:pPr>
              <w:spacing w:after="0" w:line="240" w:lineRule="auto"/>
              <w:rPr>
                <w:rFonts w:ascii="Times New Roman" w:eastAsia="Times New Roman" w:hAnsi="Times New Roman" w:cs="Times New Roman"/>
                <w:sz w:val="24"/>
                <w:szCs w:val="24"/>
              </w:rPr>
            </w:pPr>
          </w:p>
        </w:tc>
      </w:tr>
      <w:tr w:rsidR="002367E8" w:rsidRPr="002367E8" w14:paraId="23BD8FC6" w14:textId="77777777" w:rsidTr="002367E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367E8" w:rsidRPr="002367E8" w14:paraId="2E9D1989" w14:textId="77777777">
              <w:trPr>
                <w:tblCellSpacing w:w="0" w:type="dxa"/>
              </w:trPr>
              <w:tc>
                <w:tcPr>
                  <w:tcW w:w="0" w:type="auto"/>
                  <w:vAlign w:val="center"/>
                  <w:hideMark/>
                </w:tcPr>
                <w:p w14:paraId="0547C9E2" w14:textId="77777777" w:rsidR="002367E8" w:rsidRPr="002367E8" w:rsidRDefault="002367E8" w:rsidP="002367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67E8">
                    <w:rPr>
                      <w:rFonts w:ascii="Times New Roman" w:eastAsia="Times New Roman" w:hAnsi="Times New Roman" w:cs="Times New Roman"/>
                      <w:sz w:val="24"/>
                      <w:szCs w:val="24"/>
                    </w:rPr>
                    <w:t>В дисертації представлене нове вирішення наукового напрямку у проблемі збереження репродуктивного здоров’я жінок фертильного віку, які перенесли хронічні запальні процеси статевих органів, здобутком якого є удосконалення і оптимізація методів діагностики, лікування, профілактики та прогнозування порушень репродуктивного здоров’я.</w:t>
                  </w:r>
                </w:p>
                <w:p w14:paraId="2E18A590" w14:textId="77777777" w:rsidR="002367E8" w:rsidRPr="002367E8" w:rsidRDefault="002367E8" w:rsidP="00123AC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67E8">
                    <w:rPr>
                      <w:rFonts w:ascii="Times New Roman" w:eastAsia="Times New Roman" w:hAnsi="Times New Roman" w:cs="Times New Roman"/>
                      <w:sz w:val="24"/>
                      <w:szCs w:val="24"/>
                    </w:rPr>
                    <w:t>Клінічний перебіг хронічних запальних захворювань статевих органів у жінок фертильного віку визначається тривалим перебігом з переважним ураженням внутрішніх статевих органів (додатки матки 26,1%, матка 18,8%, хронічний тазовий перитоніт 12,3%), що призводить до порушення генеративної функції в 38,9% випадків.</w:t>
                  </w:r>
                </w:p>
                <w:p w14:paraId="02946394" w14:textId="77777777" w:rsidR="002367E8" w:rsidRPr="002367E8" w:rsidRDefault="002367E8" w:rsidP="00123AC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67E8">
                    <w:rPr>
                      <w:rFonts w:ascii="Times New Roman" w:eastAsia="Times New Roman" w:hAnsi="Times New Roman" w:cs="Times New Roman"/>
                      <w:sz w:val="24"/>
                      <w:szCs w:val="24"/>
                    </w:rPr>
                    <w:t>Клініко-епідеміологічна характеристика хронічних запальних захворювань статевих органів у жінок фертильного віку показала, що в патогенезі ускладнень суттєва роль належить факторам ризику, серед яких група соціально-економічних факторів посідає провідне місце, частота цих захворювань в популяції склала 37,5 %.</w:t>
                  </w:r>
                </w:p>
                <w:p w14:paraId="11BCC536" w14:textId="77777777" w:rsidR="002367E8" w:rsidRPr="002367E8" w:rsidRDefault="002367E8" w:rsidP="00123AC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67E8">
                    <w:rPr>
                      <w:rFonts w:ascii="Times New Roman" w:eastAsia="Times New Roman" w:hAnsi="Times New Roman" w:cs="Times New Roman"/>
                      <w:sz w:val="24"/>
                      <w:szCs w:val="24"/>
                    </w:rPr>
                    <w:t>Серед етіологічних факторів хронічних запальних захворювань статевих органів провідне місце належить інфекції, видовий спектр якої складають виключно асоціації мікроорганізмів. Кількісний та якісний склад мікрофлори при цій патології залежить від форми, давності захворювання та стану імунної системи.</w:t>
                  </w:r>
                </w:p>
                <w:p w14:paraId="11E6750D" w14:textId="77777777" w:rsidR="002367E8" w:rsidRPr="002367E8" w:rsidRDefault="002367E8" w:rsidP="00123AC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67E8">
                    <w:rPr>
                      <w:rFonts w:ascii="Times New Roman" w:eastAsia="Times New Roman" w:hAnsi="Times New Roman" w:cs="Times New Roman"/>
                      <w:sz w:val="24"/>
                      <w:szCs w:val="24"/>
                    </w:rPr>
                    <w:t>В патогенезі ускладнень репродуктивного здоров’я при хронічних запальних захворюваннях статевих органів важлива роль належить порушенню психо-емоційної адаптації, про що свідчить підвищення рівня кортизолу та серотоніну в крові і екскреції адреналіну, норадреналіну та дофаміну.</w:t>
                  </w:r>
                </w:p>
                <w:p w14:paraId="51252254" w14:textId="77777777" w:rsidR="002367E8" w:rsidRPr="002367E8" w:rsidRDefault="002367E8" w:rsidP="00123AC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367E8">
                    <w:rPr>
                      <w:rFonts w:ascii="Times New Roman" w:eastAsia="Times New Roman" w:hAnsi="Times New Roman" w:cs="Times New Roman"/>
                      <w:sz w:val="24"/>
                      <w:szCs w:val="24"/>
                    </w:rPr>
                    <w:t>При аналізі імунного статусу встановлено, що на тлі хронічних запальних захворювань жіночих статевих органів відбуваються суттєві багатокомпонентні порушення в фагоцитарній клітинній та гуморальній ланках іммуної системи, які пояснюють перманентність, малосимптомність та рецидивуючий характер клінічної картини цих захворювань, що і спостерігається в сучасних умовах.</w:t>
                  </w:r>
                </w:p>
                <w:p w14:paraId="18A2C99C" w14:textId="77777777" w:rsidR="002367E8" w:rsidRPr="002367E8" w:rsidRDefault="002367E8" w:rsidP="00123AC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367E8">
                    <w:rPr>
                      <w:rFonts w:ascii="Times New Roman" w:eastAsia="Times New Roman" w:hAnsi="Times New Roman" w:cs="Times New Roman"/>
                      <w:sz w:val="24"/>
                      <w:szCs w:val="24"/>
                    </w:rPr>
                    <w:lastRenderedPageBreak/>
                    <w:t>Найбільш важливими змінами в імунній системі хворих жінок є: пригнічення фагоцитарної активності нейтрофілів в залежності від розповсюдженості запального процесу; гальмування процесів активації та проліферації імунокомпетентних клітин, що свідчить про зниження вмісту СD-25+ (5.3% - 10,3%), HLADR+ (11,7% - 13,2%) лімфоцитів та підвищенням CD-95+ (19,0% - 21,6%) і розвиток дисімуноглобулінемії з зниженням IgA в сироватці крові.</w:t>
                  </w:r>
                </w:p>
                <w:p w14:paraId="381D1806" w14:textId="77777777" w:rsidR="002367E8" w:rsidRPr="002367E8" w:rsidRDefault="002367E8" w:rsidP="00123AC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367E8">
                    <w:rPr>
                      <w:rFonts w:ascii="Times New Roman" w:eastAsia="Times New Roman" w:hAnsi="Times New Roman" w:cs="Times New Roman"/>
                      <w:sz w:val="24"/>
                      <w:szCs w:val="24"/>
                    </w:rPr>
                    <w:t>При хронічних запальних захворюваннях статевих органів відбуваються морфо-функціональні зміни у вигляді дистрофії з гострою запальною інфільтрацією епітелію вульви піхви та цервікального каналу. Відмічається індукція апоптотичної загибелі клітин з хронізацією процесу запалення та порушення регуляторних механізмів апоптозу ( 1 група – 2,3 %, 2 група – 1,8 %, 3 група – 1,5 %)</w:t>
                  </w:r>
                  <w:r w:rsidRPr="002367E8">
                    <w:rPr>
                      <w:rFonts w:ascii="Times New Roman" w:eastAsia="Times New Roman" w:hAnsi="Times New Roman" w:cs="Times New Roman"/>
                      <w:b/>
                      <w:bCs/>
                      <w:sz w:val="24"/>
                      <w:szCs w:val="24"/>
                    </w:rPr>
                    <w:t>.</w:t>
                  </w:r>
                </w:p>
                <w:p w14:paraId="4F2F7A6A" w14:textId="77777777" w:rsidR="002367E8" w:rsidRPr="002367E8" w:rsidRDefault="002367E8" w:rsidP="00123AC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367E8">
                    <w:rPr>
                      <w:rFonts w:ascii="Times New Roman" w:eastAsia="Times New Roman" w:hAnsi="Times New Roman" w:cs="Times New Roman"/>
                      <w:sz w:val="24"/>
                      <w:szCs w:val="24"/>
                    </w:rPr>
                    <w:t>У жінок з хронічними запальними захворюваннями статевих органів сексуальна дисфункція встановлена у 67,8 % та зниження сексуальної чутливості в 53,8 %.</w:t>
                  </w:r>
                </w:p>
                <w:p w14:paraId="6B782559" w14:textId="77777777" w:rsidR="002367E8" w:rsidRPr="002367E8" w:rsidRDefault="002367E8" w:rsidP="00123AC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367E8">
                    <w:rPr>
                      <w:rFonts w:ascii="Times New Roman" w:eastAsia="Times New Roman" w:hAnsi="Times New Roman" w:cs="Times New Roman"/>
                      <w:sz w:val="24"/>
                      <w:szCs w:val="24"/>
                    </w:rPr>
                    <w:t>На основі аналізу клініко-параклінічних даних, розроблені математичні моделі та алгоритми, з урахуванням факторів ризику прогнозу захворювання, що дозволяє в 97,0 % випадків передбачити розвиток порушень репродуктивного здоров’я, та 38,9% порушень генеративної функції у жінок фертильного віку при хронічних запальних захворюваннях статевих органів.</w:t>
                  </w:r>
                </w:p>
                <w:p w14:paraId="7B3DB64C" w14:textId="77777777" w:rsidR="002367E8" w:rsidRPr="002367E8" w:rsidRDefault="002367E8" w:rsidP="00123AC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367E8">
                    <w:rPr>
                      <w:rFonts w:ascii="Times New Roman" w:eastAsia="Times New Roman" w:hAnsi="Times New Roman" w:cs="Times New Roman"/>
                      <w:sz w:val="24"/>
                      <w:szCs w:val="24"/>
                    </w:rPr>
                    <w:t>Ефективність застосування комплексного етапного лікування хронічних запальних захворювань статевих органів у жінок фертильного віку, направленого на відновлення мікробіоцинозу урогенітальних органів, імунного статусу, психоемоційного та сексуального станів, морфо-функціонального стану клітин статевих органів склала 92,0-94,0 %.</w:t>
                  </w:r>
                </w:p>
                <w:p w14:paraId="09878244" w14:textId="77777777" w:rsidR="002367E8" w:rsidRPr="002367E8" w:rsidRDefault="002367E8" w:rsidP="00123AC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367E8">
                    <w:rPr>
                      <w:rFonts w:ascii="Times New Roman" w:eastAsia="Times New Roman" w:hAnsi="Times New Roman" w:cs="Times New Roman"/>
                      <w:sz w:val="24"/>
                      <w:szCs w:val="24"/>
                    </w:rPr>
                    <w:t>Впровадження оригінальних методик, патогенетично обгрунтованого лікування дозволило знизити частоту ускладнень репродуктивного здоров'я, у жінок з хронічними запальними захворюваннями, в 2,5 рази, та покращити генеративну функцію хворих жінок.</w:t>
                  </w:r>
                </w:p>
              </w:tc>
            </w:tr>
          </w:tbl>
          <w:p w14:paraId="5BE96466" w14:textId="77777777" w:rsidR="002367E8" w:rsidRPr="002367E8" w:rsidRDefault="002367E8" w:rsidP="002367E8">
            <w:pPr>
              <w:spacing w:after="0" w:line="240" w:lineRule="auto"/>
              <w:rPr>
                <w:rFonts w:ascii="Times New Roman" w:eastAsia="Times New Roman" w:hAnsi="Times New Roman" w:cs="Times New Roman"/>
                <w:sz w:val="24"/>
                <w:szCs w:val="24"/>
              </w:rPr>
            </w:pPr>
          </w:p>
        </w:tc>
      </w:tr>
    </w:tbl>
    <w:p w14:paraId="2449424D" w14:textId="77777777" w:rsidR="002367E8" w:rsidRPr="002367E8" w:rsidRDefault="002367E8" w:rsidP="002367E8"/>
    <w:sectPr w:rsidR="002367E8" w:rsidRPr="002367E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DB245" w14:textId="77777777" w:rsidR="00123AC6" w:rsidRDefault="00123AC6">
      <w:pPr>
        <w:spacing w:after="0" w:line="240" w:lineRule="auto"/>
      </w:pPr>
      <w:r>
        <w:separator/>
      </w:r>
    </w:p>
  </w:endnote>
  <w:endnote w:type="continuationSeparator" w:id="0">
    <w:p w14:paraId="7D391AE3" w14:textId="77777777" w:rsidR="00123AC6" w:rsidRDefault="00123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B1FB7" w14:textId="77777777" w:rsidR="00123AC6" w:rsidRDefault="00123AC6">
      <w:pPr>
        <w:spacing w:after="0" w:line="240" w:lineRule="auto"/>
      </w:pPr>
      <w:r>
        <w:separator/>
      </w:r>
    </w:p>
  </w:footnote>
  <w:footnote w:type="continuationSeparator" w:id="0">
    <w:p w14:paraId="03189A30" w14:textId="77777777" w:rsidR="00123AC6" w:rsidRDefault="00123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23AC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E078F"/>
    <w:multiLevelType w:val="multilevel"/>
    <w:tmpl w:val="61707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991C75"/>
    <w:multiLevelType w:val="multilevel"/>
    <w:tmpl w:val="E4AE8E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AC6"/>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9A"/>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B"/>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D35"/>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252"/>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46"/>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1F4F"/>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7F"/>
    <w:rsid w:val="00674B21"/>
    <w:rsid w:val="00674CC2"/>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DBE"/>
    <w:rsid w:val="006C713E"/>
    <w:rsid w:val="006C71F9"/>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6E07"/>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34"/>
    <w:rsid w:val="007679BB"/>
    <w:rsid w:val="007679DA"/>
    <w:rsid w:val="00767C3E"/>
    <w:rsid w:val="00767CC7"/>
    <w:rsid w:val="00767CD6"/>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A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AA3"/>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EDC"/>
    <w:rsid w:val="00866FA5"/>
    <w:rsid w:val="00866FF1"/>
    <w:rsid w:val="008671DD"/>
    <w:rsid w:val="00867262"/>
    <w:rsid w:val="00867349"/>
    <w:rsid w:val="008673F0"/>
    <w:rsid w:val="008674B2"/>
    <w:rsid w:val="008674B6"/>
    <w:rsid w:val="008677C0"/>
    <w:rsid w:val="008677D2"/>
    <w:rsid w:val="0086785F"/>
    <w:rsid w:val="008678B5"/>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79"/>
    <w:rsid w:val="008E11A8"/>
    <w:rsid w:val="008E11E2"/>
    <w:rsid w:val="008E153C"/>
    <w:rsid w:val="008E15BF"/>
    <w:rsid w:val="008E17CD"/>
    <w:rsid w:val="008E1815"/>
    <w:rsid w:val="008E1C2A"/>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41"/>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36"/>
    <w:rsid w:val="00A46A46"/>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76"/>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D7"/>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62"/>
    <w:rsid w:val="00E376DF"/>
    <w:rsid w:val="00E37786"/>
    <w:rsid w:val="00E37977"/>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883"/>
    <w:rsid w:val="00E879B2"/>
    <w:rsid w:val="00E87D4D"/>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7223"/>
    <w:rsid w:val="00F773D2"/>
    <w:rsid w:val="00F7763A"/>
    <w:rsid w:val="00F77788"/>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7F"/>
    <w:rsid w:val="00FC4FC5"/>
    <w:rsid w:val="00FC507A"/>
    <w:rsid w:val="00FC522F"/>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110212</TotalTime>
  <Pages>3</Pages>
  <Words>786</Words>
  <Characters>4484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2363</cp:revision>
  <dcterms:created xsi:type="dcterms:W3CDTF">2024-06-20T08:51:00Z</dcterms:created>
  <dcterms:modified xsi:type="dcterms:W3CDTF">2025-01-01T15:55:00Z</dcterms:modified>
  <cp:category/>
</cp:coreProperties>
</file>