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362357D0" w:rsidR="00254859" w:rsidRPr="00404CA7" w:rsidRDefault="00404CA7" w:rsidP="00404CA7">
      <w:r>
        <w:rPr>
          <w:rFonts w:ascii="Verdana" w:hAnsi="Verdana"/>
          <w:b/>
          <w:bCs/>
          <w:color w:val="000000"/>
          <w:shd w:val="clear" w:color="auto" w:fill="FFFFFF"/>
        </w:rPr>
        <w:t>Каракурсаков Наріман Ескендерович. Профілактика і лікування синдрому інтраабдомінальної гіпертензії у хворих з госторою хірургічною патологією органів черевної порожнини (експериментально-клінічне дослідження).- Дисертація канд. мед. наук: 14.01.02, ДЗ "Запоріз. мед. акад. післядиплом. освіти МОЗ України". - Запоріжжя, 2013.- 220 с.</w:t>
      </w:r>
    </w:p>
    <w:sectPr w:rsidR="00254859" w:rsidRPr="00404C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18EB" w14:textId="77777777" w:rsidR="001A6934" w:rsidRDefault="001A6934">
      <w:pPr>
        <w:spacing w:after="0" w:line="240" w:lineRule="auto"/>
      </w:pPr>
      <w:r>
        <w:separator/>
      </w:r>
    </w:p>
  </w:endnote>
  <w:endnote w:type="continuationSeparator" w:id="0">
    <w:p w14:paraId="23931FF4" w14:textId="77777777" w:rsidR="001A6934" w:rsidRDefault="001A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FA2A9" w14:textId="77777777" w:rsidR="001A6934" w:rsidRDefault="001A6934">
      <w:pPr>
        <w:spacing w:after="0" w:line="240" w:lineRule="auto"/>
      </w:pPr>
      <w:r>
        <w:separator/>
      </w:r>
    </w:p>
  </w:footnote>
  <w:footnote w:type="continuationSeparator" w:id="0">
    <w:p w14:paraId="5116CA6E" w14:textId="77777777" w:rsidR="001A6934" w:rsidRDefault="001A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69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934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112966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2870</cp:revision>
  <dcterms:created xsi:type="dcterms:W3CDTF">2024-06-20T08:51:00Z</dcterms:created>
  <dcterms:modified xsi:type="dcterms:W3CDTF">2025-01-05T10:06:00Z</dcterms:modified>
  <cp:category/>
</cp:coreProperties>
</file>