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AD88" w14:textId="26C86F16" w:rsidR="005B678B" w:rsidRDefault="00EE7DD2" w:rsidP="00EE7DD2">
      <w:pPr>
        <w:rPr>
          <w:rFonts w:ascii="Verdana" w:hAnsi="Verdana"/>
          <w:b/>
          <w:bCs/>
          <w:color w:val="000000"/>
          <w:shd w:val="clear" w:color="auto" w:fill="FFFFFF"/>
        </w:rPr>
      </w:pPr>
      <w:r>
        <w:rPr>
          <w:rFonts w:ascii="Verdana" w:hAnsi="Verdana"/>
          <w:b/>
          <w:bCs/>
          <w:color w:val="000000"/>
          <w:shd w:val="clear" w:color="auto" w:fill="FFFFFF"/>
        </w:rPr>
        <w:t xml:space="preserve">Красовська Ольга Володимирівна. Обґрунтування основних напрямків участі фінансових інститутів в розвитку інноваційної діяльності : Дис... канд. наук: 08.02.02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E7DD2" w:rsidRPr="00EE7DD2" w14:paraId="30BA0E8F" w14:textId="77777777" w:rsidTr="00EE7D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7DD2" w:rsidRPr="00EE7DD2" w14:paraId="72BF763C" w14:textId="77777777">
              <w:trPr>
                <w:tblCellSpacing w:w="0" w:type="dxa"/>
              </w:trPr>
              <w:tc>
                <w:tcPr>
                  <w:tcW w:w="0" w:type="auto"/>
                  <w:vAlign w:val="center"/>
                  <w:hideMark/>
                </w:tcPr>
                <w:p w14:paraId="555433D2" w14:textId="77777777" w:rsidR="00EE7DD2" w:rsidRPr="00EE7DD2" w:rsidRDefault="00EE7DD2" w:rsidP="00EE7D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lastRenderedPageBreak/>
                    <w:t>Красовська О.В. Обґрунтування основних напрямків участі фінансових інститутів в розвитку інноваційної діяльності. – Рукопис.</w:t>
                  </w:r>
                </w:p>
                <w:p w14:paraId="1A54D981" w14:textId="77777777" w:rsidR="00EE7DD2" w:rsidRPr="00EE7DD2" w:rsidRDefault="00EE7DD2" w:rsidP="00EE7D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08.02.02 – економіка та управління науково-технічним прогресом. Центр досліджень науково-технічного потенціалу та історії науки ім. Г.М. Доброва НАН України, Київ, 2004.</w:t>
                  </w:r>
                </w:p>
                <w:p w14:paraId="4428F803" w14:textId="77777777" w:rsidR="00EE7DD2" w:rsidRPr="00EE7DD2" w:rsidRDefault="00EE7DD2" w:rsidP="00EE7D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Дисертація присвячена проблемі створення адекватного механізму залучення фінансових інститутів України до процесу фінансового забезпечення інноваційної діяльності. У роботі визначено та обгрунтовано основні напрямки та перешкоди для участі фінансових інститутів в розвитку інноваційної діяльності. Визначено основні тенденції динаміки фінансового забезпечення науково-технічних робіт та інноваційної діяльності на промислових підприємствах з врахуванням інфляційної складової, а також суттєво доповнено дані до основних джерел фінансування інноваційної діяльності в малих та середніх підприємствах України. Запропоновано організаційно-методичний підхід щодо вдосконалення процедур фінансового забезпечення інноваційно-інвестиційних проектів на основі ітеративної оцінки показників результативності. Підготовлено рекомендації спрямовані на активізацію участі фінансових інститутів у розвитку інноваційної діяльності.</w:t>
                  </w:r>
                </w:p>
              </w:tc>
            </w:tr>
          </w:tbl>
          <w:p w14:paraId="3627D242" w14:textId="77777777" w:rsidR="00EE7DD2" w:rsidRPr="00EE7DD2" w:rsidRDefault="00EE7DD2" w:rsidP="00EE7DD2">
            <w:pPr>
              <w:spacing w:after="0" w:line="240" w:lineRule="auto"/>
              <w:rPr>
                <w:rFonts w:ascii="Times New Roman" w:eastAsia="Times New Roman" w:hAnsi="Times New Roman" w:cs="Times New Roman"/>
                <w:sz w:val="24"/>
                <w:szCs w:val="24"/>
              </w:rPr>
            </w:pPr>
          </w:p>
        </w:tc>
      </w:tr>
      <w:tr w:rsidR="00EE7DD2" w:rsidRPr="00EE7DD2" w14:paraId="2F55B41D" w14:textId="77777777" w:rsidTr="00EE7D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7DD2" w:rsidRPr="00EE7DD2" w14:paraId="3FB0C08A" w14:textId="77777777">
              <w:trPr>
                <w:tblCellSpacing w:w="0" w:type="dxa"/>
              </w:trPr>
              <w:tc>
                <w:tcPr>
                  <w:tcW w:w="0" w:type="auto"/>
                  <w:vAlign w:val="center"/>
                  <w:hideMark/>
                </w:tcPr>
                <w:p w14:paraId="6CCD62F5" w14:textId="77777777" w:rsidR="00EE7DD2" w:rsidRPr="00EE7DD2" w:rsidRDefault="00EE7DD2" w:rsidP="00EE7D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У дисертаційному дослідженні представлено теоретичне узагальнення та нове вирішення актуальної задачі створення адекватного механізму залучення фінансових інститутів України до процесу фінансового забезпечення інноваційної діяльності в країні. Найважливіші наукові результати дослідження полягають в наступному:</w:t>
                  </w:r>
                </w:p>
                <w:p w14:paraId="1E5A3722" w14:textId="77777777" w:rsidR="00EE7DD2" w:rsidRPr="00EE7DD2" w:rsidRDefault="00EE7DD2" w:rsidP="00EE7DD2">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Запропоновано підходи до вдосконалення системи оцінки фінансового забезпечення науково-технічної та інноваційної діяльності, які полягають у використанні дефляторів, що дозволяє отримати більш об’єктивні значення показників фінансового забезпечення та в свою чергу робить можливим проведення адекватного аналізу динаміки даних показників.</w:t>
                  </w:r>
                </w:p>
                <w:p w14:paraId="0601DD03" w14:textId="77777777" w:rsidR="00EE7DD2" w:rsidRPr="00EE7DD2" w:rsidRDefault="00EE7DD2" w:rsidP="00EE7DD2">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Розроблено організаційно-методичний підхід до удосконалення процедур фінансування інноваційно-інвестиційних проектів фінансово-кредитними установами на основі ітеративної оцінки показників результативності, який полягає в додатковій переоцінці параметрів проекту на стадії виходу з кожного етапу проведення НДДКР. На основі здійснених розрахунків запропоновано більш раціональний розподіл інвестиційно-кредитного портфелю фінансової установи в залежності від етапів створення інноваційного продукту (послуги). Використання даного принципу при диверсифікації кредитного портфелю допоможе фінансовим установам зменшити ризик кредитування інноваційно-інвестиційних проектів та відповідно створить передумови для активізації участі фінансових інститутів у кредитуванні інноваційної діяльності.</w:t>
                  </w:r>
                </w:p>
                <w:p w14:paraId="10885E69" w14:textId="77777777" w:rsidR="00EE7DD2" w:rsidRPr="00EE7DD2" w:rsidRDefault="00EE7DD2" w:rsidP="00EE7DD2">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 xml:space="preserve">Запропоновано підхід до визначення обсягів та джерел фінансового забезпечення інноваційної діяльності з боку малих та середніх підприємств. Даний підхід полягає у проведенні регулярних обстежень інноваційної діяльності малих та середніх підприємств на кшталт Європейського інноваційного обстеження, причому серед джерел фінансування інноваційної діяльності для МСП необхідно окремо виділяти кредити фінансових установ та венчурне фінансування. На базі аналогічного дослідження здійснено аналіз джерел фінансування МСП в Україні та встановлено, що на сьогоднішній день основними з них виступають неформальні кредити сім’ї та друзів, банківські кредити, кредити замовників, постачальників та інших підприємств, лізинг, певні державні програми. Показано, що </w:t>
                  </w:r>
                  <w:r w:rsidRPr="00EE7DD2">
                    <w:rPr>
                      <w:rFonts w:ascii="Times New Roman" w:eastAsia="Times New Roman" w:hAnsi="Times New Roman" w:cs="Times New Roman"/>
                      <w:sz w:val="24"/>
                      <w:szCs w:val="24"/>
                    </w:rPr>
                    <w:lastRenderedPageBreak/>
                    <w:t>українські інноваційні МСП не досить активно використовують можливості інноваційного кредитування, незважаючи на серйозні труднощі у фінансовому забезпеченні своєї інноваційної діяльності.</w:t>
                  </w:r>
                </w:p>
                <w:p w14:paraId="5A9A9CF6" w14:textId="77777777" w:rsidR="00EE7DD2" w:rsidRPr="00EE7DD2" w:rsidRDefault="00EE7DD2" w:rsidP="00EE7DD2">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Показано, що основними напрямками участі фінансових інститутів у розвитку інноваційної діяльності є: а) безпосереднє кредитування інвестиційно-інноваційних проектів, які, зважаючи на специфіку інноваційної діяльності, є переважно довгостроковими; б) участь в ролі інвесторів у різноманітних спеціалізованих фондах (наприклад венчурних), які здійснюють кредитування інноваційної діяльності; в) організаційна допомога суб’єктам інноваційної діяльності в процесі здійснення такої діяльності. Доведено, що можливості фінансових інститутів приймати участь в інноваційній діяльності визначаються в першу чергу здатністю залучати так звані “довгі гроші”, які є головним фінансовим джерелом довгострокового кредитування. Іншим важливим аспектом, що визначає ступінь участі фінансових інститутів в інноваційній діяльності, є законодавча регламентація основних напрямків здійснення інвестицій та їх співвідношення. На основі аналізу кредитної діяльності комерційних банків та інших фінансових інститутів України (зокрема страхових компаній, недержавних пенсійних фондів, венчурних фондів) визначено ступінь їх залучення до процесу фінансового забезпечення інноваційної діяльності. Доведено, що, незважаючи на значний потенціал, фінансові інститути України майже не приймають участі в інноваційній діяльності, що зумовлено насамперед відсутністю у них дієвих стимулів для здійснення такої діяльності.</w:t>
                  </w:r>
                </w:p>
                <w:p w14:paraId="788479C2" w14:textId="77777777" w:rsidR="00EE7DD2" w:rsidRPr="00EE7DD2" w:rsidRDefault="00EE7DD2" w:rsidP="00EE7DD2">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Запропоновано напрямки вдосконалення офіційної статистики в науково-технологічній та інноваційній сферах з метою її приведення до вимог європейської системи показників інноваційної діяльності. Показано, що з дев’яти показників європейської системи показників інноваційної діяльності, що стосуються оцінки фінансового забезпечення інноваційної діяльності на сучасному етапі, можна застосовувати лише три, розрахунок ще трьох показників вимагає вдосконалення форм статистичної звітності та системи обліку, а розрахунок решти показників - значної трансформації системи статистики та приведення її до європейських стандартів оцінки.</w:t>
                  </w:r>
                </w:p>
                <w:p w14:paraId="0D3FF301" w14:textId="77777777" w:rsidR="00EE7DD2" w:rsidRPr="00EE7DD2" w:rsidRDefault="00EE7DD2" w:rsidP="00EE7DD2">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Показано, що існування ефективного механізму венчурного фінансування в країні неможливе без створення венчурних фондів із залученням національного капіталу та національних кадрів, а також належного законодавчо-нормативного забезпечення. Однією з основних умов розвитку ринку венчурного капіталу є успішне функціонування в країні фондового ринку, зокрема ринку цінних паперів високотехнологічних підприємств, існування якого логічно випливає з існування в країні системи підтримки та стимулювання інноваційної діяльності.</w:t>
                  </w:r>
                </w:p>
                <w:p w14:paraId="695A13A6" w14:textId="77777777" w:rsidR="00EE7DD2" w:rsidRPr="00EE7DD2" w:rsidRDefault="00EE7DD2" w:rsidP="00EE7DD2">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E7DD2">
                    <w:rPr>
                      <w:rFonts w:ascii="Times New Roman" w:eastAsia="Times New Roman" w:hAnsi="Times New Roman" w:cs="Times New Roman"/>
                      <w:sz w:val="24"/>
                      <w:szCs w:val="24"/>
                    </w:rPr>
                    <w:t>Розроблено напрямки вдосконалення звітності українських комерційних банків з метою створення можливостей для отримання оперативної та об’єктивної інформації стосовно напрямків кредитування інноваційної діяльності, які полягають як у спеціальному виділенні інноваційних кредитів у первинних статистичних формах, так і у суттєвій зміні статистичної інформації, зокрема у Класифікації видів економічної діяльності (КВЕД)</w:t>
                  </w:r>
                </w:p>
              </w:tc>
            </w:tr>
          </w:tbl>
          <w:p w14:paraId="7AD743EC" w14:textId="77777777" w:rsidR="00EE7DD2" w:rsidRPr="00EE7DD2" w:rsidRDefault="00EE7DD2" w:rsidP="00EE7DD2">
            <w:pPr>
              <w:spacing w:after="0" w:line="240" w:lineRule="auto"/>
              <w:rPr>
                <w:rFonts w:ascii="Times New Roman" w:eastAsia="Times New Roman" w:hAnsi="Times New Roman" w:cs="Times New Roman"/>
                <w:sz w:val="24"/>
                <w:szCs w:val="24"/>
              </w:rPr>
            </w:pPr>
          </w:p>
        </w:tc>
      </w:tr>
    </w:tbl>
    <w:p w14:paraId="6232395D" w14:textId="77777777" w:rsidR="00EE7DD2" w:rsidRPr="00EE7DD2" w:rsidRDefault="00EE7DD2" w:rsidP="00EE7DD2"/>
    <w:sectPr w:rsidR="00EE7DD2" w:rsidRPr="00EE7D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5944" w14:textId="77777777" w:rsidR="00190D56" w:rsidRDefault="00190D56">
      <w:pPr>
        <w:spacing w:after="0" w:line="240" w:lineRule="auto"/>
      </w:pPr>
      <w:r>
        <w:separator/>
      </w:r>
    </w:p>
  </w:endnote>
  <w:endnote w:type="continuationSeparator" w:id="0">
    <w:p w14:paraId="759BBA68" w14:textId="77777777" w:rsidR="00190D56" w:rsidRDefault="0019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90BAA" w14:textId="77777777" w:rsidR="00190D56" w:rsidRDefault="00190D56">
      <w:pPr>
        <w:spacing w:after="0" w:line="240" w:lineRule="auto"/>
      </w:pPr>
      <w:r>
        <w:separator/>
      </w:r>
    </w:p>
  </w:footnote>
  <w:footnote w:type="continuationSeparator" w:id="0">
    <w:p w14:paraId="22CFF821" w14:textId="77777777" w:rsidR="00190D56" w:rsidRDefault="0019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0D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5B4"/>
    <w:multiLevelType w:val="multilevel"/>
    <w:tmpl w:val="60EC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A3434"/>
    <w:multiLevelType w:val="multilevel"/>
    <w:tmpl w:val="C0065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24A21"/>
    <w:multiLevelType w:val="multilevel"/>
    <w:tmpl w:val="393C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77859"/>
    <w:multiLevelType w:val="multilevel"/>
    <w:tmpl w:val="93826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E74F7"/>
    <w:multiLevelType w:val="multilevel"/>
    <w:tmpl w:val="E9E8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37A46"/>
    <w:multiLevelType w:val="multilevel"/>
    <w:tmpl w:val="3F6C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E18AA"/>
    <w:multiLevelType w:val="multilevel"/>
    <w:tmpl w:val="D6F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A788D"/>
    <w:multiLevelType w:val="multilevel"/>
    <w:tmpl w:val="00F64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F74BF"/>
    <w:multiLevelType w:val="multilevel"/>
    <w:tmpl w:val="100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B55B64"/>
    <w:multiLevelType w:val="multilevel"/>
    <w:tmpl w:val="C21C5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C12A8"/>
    <w:multiLevelType w:val="multilevel"/>
    <w:tmpl w:val="F6D0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43F95"/>
    <w:multiLevelType w:val="multilevel"/>
    <w:tmpl w:val="06E0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E5524B"/>
    <w:multiLevelType w:val="multilevel"/>
    <w:tmpl w:val="915AC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BF75AB"/>
    <w:multiLevelType w:val="multilevel"/>
    <w:tmpl w:val="DB7E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D93146"/>
    <w:multiLevelType w:val="multilevel"/>
    <w:tmpl w:val="2B106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D5B07"/>
    <w:multiLevelType w:val="multilevel"/>
    <w:tmpl w:val="B1A8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2E6698"/>
    <w:multiLevelType w:val="multilevel"/>
    <w:tmpl w:val="4D46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62C80"/>
    <w:multiLevelType w:val="multilevel"/>
    <w:tmpl w:val="D604FF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3C666A"/>
    <w:multiLevelType w:val="multilevel"/>
    <w:tmpl w:val="94BEE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50B6A"/>
    <w:multiLevelType w:val="multilevel"/>
    <w:tmpl w:val="0F2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F2FDA"/>
    <w:multiLevelType w:val="multilevel"/>
    <w:tmpl w:val="E4E6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550BC1"/>
    <w:multiLevelType w:val="multilevel"/>
    <w:tmpl w:val="33A6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53428"/>
    <w:multiLevelType w:val="multilevel"/>
    <w:tmpl w:val="2992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63C85"/>
    <w:multiLevelType w:val="multilevel"/>
    <w:tmpl w:val="E9982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E64EB8"/>
    <w:multiLevelType w:val="multilevel"/>
    <w:tmpl w:val="6FC0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FE632C"/>
    <w:multiLevelType w:val="multilevel"/>
    <w:tmpl w:val="A836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E6443F"/>
    <w:multiLevelType w:val="multilevel"/>
    <w:tmpl w:val="E29A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7538B7"/>
    <w:multiLevelType w:val="multilevel"/>
    <w:tmpl w:val="12F2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7A03E1"/>
    <w:multiLevelType w:val="multilevel"/>
    <w:tmpl w:val="F5D2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A31D01"/>
    <w:multiLevelType w:val="multilevel"/>
    <w:tmpl w:val="C414C1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312ED3"/>
    <w:multiLevelType w:val="multilevel"/>
    <w:tmpl w:val="0888A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60ADD"/>
    <w:multiLevelType w:val="multilevel"/>
    <w:tmpl w:val="E4AC50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9"/>
  </w:num>
  <w:num w:numId="4">
    <w:abstractNumId w:val="27"/>
  </w:num>
  <w:num w:numId="5">
    <w:abstractNumId w:val="17"/>
  </w:num>
  <w:num w:numId="6">
    <w:abstractNumId w:val="31"/>
  </w:num>
  <w:num w:numId="7">
    <w:abstractNumId w:val="6"/>
  </w:num>
  <w:num w:numId="8">
    <w:abstractNumId w:val="3"/>
  </w:num>
  <w:num w:numId="9">
    <w:abstractNumId w:val="20"/>
  </w:num>
  <w:num w:numId="10">
    <w:abstractNumId w:val="26"/>
  </w:num>
  <w:num w:numId="11">
    <w:abstractNumId w:val="18"/>
  </w:num>
  <w:num w:numId="12">
    <w:abstractNumId w:val="13"/>
  </w:num>
  <w:num w:numId="13">
    <w:abstractNumId w:val="2"/>
  </w:num>
  <w:num w:numId="14">
    <w:abstractNumId w:val="14"/>
  </w:num>
  <w:num w:numId="15">
    <w:abstractNumId w:val="9"/>
  </w:num>
  <w:num w:numId="16">
    <w:abstractNumId w:val="11"/>
  </w:num>
  <w:num w:numId="17">
    <w:abstractNumId w:val="5"/>
  </w:num>
  <w:num w:numId="18">
    <w:abstractNumId w:val="1"/>
  </w:num>
  <w:num w:numId="19">
    <w:abstractNumId w:val="1"/>
    <w:lvlOverride w:ilvl="1">
      <w:startOverride w:val="4"/>
    </w:lvlOverride>
  </w:num>
  <w:num w:numId="20">
    <w:abstractNumId w:val="15"/>
  </w:num>
  <w:num w:numId="21">
    <w:abstractNumId w:val="7"/>
  </w:num>
  <w:num w:numId="22">
    <w:abstractNumId w:val="16"/>
  </w:num>
  <w:num w:numId="23">
    <w:abstractNumId w:val="4"/>
  </w:num>
  <w:num w:numId="24">
    <w:abstractNumId w:val="22"/>
  </w:num>
  <w:num w:numId="25">
    <w:abstractNumId w:val="23"/>
  </w:num>
  <w:num w:numId="26">
    <w:abstractNumId w:val="21"/>
  </w:num>
  <w:num w:numId="27">
    <w:abstractNumId w:val="28"/>
  </w:num>
  <w:num w:numId="28">
    <w:abstractNumId w:val="10"/>
  </w:num>
  <w:num w:numId="29">
    <w:abstractNumId w:val="29"/>
  </w:num>
  <w:num w:numId="30">
    <w:abstractNumId w:val="24"/>
  </w:num>
  <w:num w:numId="31">
    <w:abstractNumId w:val="30"/>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335A"/>
    <w:rsid w:val="0006342D"/>
    <w:rsid w:val="000638D3"/>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D56"/>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76620</TotalTime>
  <Pages>3</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1559</cp:revision>
  <dcterms:created xsi:type="dcterms:W3CDTF">2024-06-20T08:51:00Z</dcterms:created>
  <dcterms:modified xsi:type="dcterms:W3CDTF">2024-09-08T21:46:00Z</dcterms:modified>
  <cp:category/>
</cp:coreProperties>
</file>